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P="00D62C10" w14:paraId="02AB0FB1" w14:textId="77777777">
      <w:pPr>
        <w:spacing w:after="0" w:line="240" w:lineRule="auto"/>
        <w:rPr>
          <w:rFonts w:ascii="Arial" w:hAnsi="Arial" w:cs="Arial"/>
          <w:b/>
          <w:bCs/>
        </w:rPr>
      </w:pPr>
      <w:r w:rsidRPr="000F266B">
        <w:rPr>
          <w:rFonts w:ascii="Arial" w:hAnsi="Arial" w:cs="Arial"/>
          <w:b/>
          <w:bCs/>
        </w:rPr>
        <w:t xml:space="preserve">Bogotá D.C., </w:t>
      </w:r>
      <w:bookmarkStart w:id="0" w:name="dia"/>
      <w:r w:rsidRPr="000F266B">
        <w:rPr>
          <w:rFonts w:ascii="Arial" w:hAnsi="Arial" w:cs="Arial"/>
          <w:b/>
          <w:bCs/>
        </w:rPr>
        <w:t>XX</w:t>
      </w:r>
      <w:bookmarkEnd w:id="0"/>
      <w:r w:rsidRPr="000F266B">
        <w:rPr>
          <w:rFonts w:ascii="Arial" w:hAnsi="Arial" w:cs="Arial"/>
          <w:b/>
          <w:bCs/>
        </w:rPr>
        <w:t xml:space="preserve"> de </w:t>
      </w:r>
      <w:bookmarkStart w:id="1" w:name="mes"/>
      <w:r w:rsidRPr="000F266B">
        <w:rPr>
          <w:rFonts w:ascii="Arial" w:hAnsi="Arial" w:cs="Arial"/>
          <w:b/>
          <w:bCs/>
        </w:rPr>
        <w:t>XXXX</w:t>
      </w:r>
      <w:bookmarkEnd w:id="1"/>
      <w:r w:rsidRPr="000F266B">
        <w:rPr>
          <w:rFonts w:ascii="Arial" w:hAnsi="Arial" w:cs="Arial"/>
          <w:b/>
          <w:bCs/>
        </w:rPr>
        <w:t xml:space="preserve"> de </w:t>
      </w:r>
      <w:bookmarkStart w:id="2" w:name="anio"/>
      <w:r w:rsidRPr="000F266B">
        <w:rPr>
          <w:rFonts w:ascii="Arial" w:hAnsi="Arial" w:cs="Arial"/>
          <w:b/>
          <w:bCs/>
        </w:rPr>
        <w:t>XXXX</w:t>
      </w:r>
      <w:bookmarkEnd w:id="2"/>
    </w:p>
    <w:p w:rsidR="000F266B" w:rsidP="00D62C10" w14:paraId="02AB0FB2" w14:textId="77777777">
      <w:pPr>
        <w:spacing w:after="0" w:line="240" w:lineRule="auto"/>
        <w:rPr>
          <w:rFonts w:ascii="Arial" w:hAnsi="Arial" w:cs="Arial"/>
          <w:b/>
          <w:bCs/>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24DF2" w:rsidP="00D62C10" w14:paraId="02AB0FB3" w14:textId="77777777">
      <w:pPr>
        <w:spacing w:after="0" w:line="240" w:lineRule="auto"/>
        <w:rPr>
          <w:rFonts w:ascii="Arial" w:hAnsi="Arial" w:cs="Arial"/>
          <w:b/>
          <w:bCs/>
          <w:sz w:val="20"/>
          <w:szCs w:val="20"/>
        </w:rPr>
      </w:pPr>
    </w:p>
    <w:p w:rsidR="005129D7" w:rsidRPr="005129D7" w:rsidP="005129D7" w14:paraId="11856674" w14:textId="77777777">
      <w:pPr>
        <w:tabs>
          <w:tab w:val="left" w:pos="5565"/>
        </w:tabs>
        <w:spacing w:after="0" w:line="252" w:lineRule="auto"/>
        <w:jc w:val="both"/>
        <w:rPr>
          <w:rFonts w:ascii="Arial" w:hAnsi="Arial" w:cs="Arial"/>
          <w:sz w:val="20"/>
          <w:szCs w:val="20"/>
        </w:rPr>
      </w:pPr>
      <w:r w:rsidRPr="005129D7">
        <w:rPr>
          <w:rFonts w:ascii="Arial" w:hAnsi="Arial" w:cs="Arial"/>
          <w:sz w:val="20"/>
          <w:szCs w:val="20"/>
        </w:rPr>
        <w:t>Señores</w:t>
      </w:r>
      <w:r w:rsidRPr="005129D7">
        <w:rPr>
          <w:rFonts w:ascii="Arial" w:hAnsi="Arial" w:cs="Arial"/>
          <w:b/>
          <w:bCs/>
          <w:sz w:val="20"/>
          <w:szCs w:val="20"/>
        </w:rPr>
        <w:tab/>
      </w:r>
    </w:p>
    <w:p w:rsidR="00B52D62" w:rsidP="005129D7" w14:paraId="3729EB0A" w14:textId="77777777">
      <w:pPr>
        <w:tabs>
          <w:tab w:val="left" w:pos="5565"/>
        </w:tabs>
        <w:spacing w:after="0" w:line="252" w:lineRule="auto"/>
        <w:jc w:val="both"/>
        <w:rPr>
          <w:rFonts w:ascii="Arial" w:hAnsi="Arial" w:cs="Arial"/>
          <w:b/>
          <w:bCs/>
          <w:sz w:val="20"/>
          <w:szCs w:val="20"/>
        </w:rPr>
      </w:pPr>
      <w:r w:rsidRPr="00B52D62">
        <w:rPr>
          <w:rFonts w:ascii="Arial" w:hAnsi="Arial" w:cs="Arial"/>
          <w:b/>
          <w:bCs/>
          <w:sz w:val="20"/>
          <w:szCs w:val="20"/>
        </w:rPr>
        <w:t>TRIADA S A S</w:t>
      </w:r>
    </w:p>
    <w:p w:rsidR="005129D7" w:rsidRPr="005129D7" w:rsidP="005129D7" w14:paraId="454C49C9" w14:textId="5201E927">
      <w:pPr>
        <w:tabs>
          <w:tab w:val="left" w:pos="5565"/>
        </w:tabs>
        <w:spacing w:after="0" w:line="252" w:lineRule="auto"/>
        <w:jc w:val="both"/>
        <w:rPr>
          <w:rFonts w:ascii="Arial" w:hAnsi="Arial" w:cs="Arial"/>
          <w:sz w:val="20"/>
          <w:szCs w:val="20"/>
        </w:rPr>
      </w:pPr>
      <w:r w:rsidRPr="005129D7">
        <w:rPr>
          <w:rFonts w:ascii="Arial" w:hAnsi="Arial" w:cs="Arial"/>
          <w:sz w:val="20"/>
          <w:szCs w:val="20"/>
        </w:rPr>
        <w:t>Atn</w:t>
      </w:r>
      <w:r w:rsidRPr="005129D7">
        <w:rPr>
          <w:rFonts w:ascii="Arial" w:hAnsi="Arial" w:cs="Arial"/>
          <w:sz w:val="20"/>
          <w:szCs w:val="20"/>
        </w:rPr>
        <w:t>. Sr.</w:t>
      </w:r>
      <w:r w:rsidRPr="005129D7" w:rsidR="007E1768">
        <w:rPr>
          <w:rFonts w:ascii="Arial" w:hAnsi="Arial" w:cs="Arial"/>
          <w:sz w:val="20"/>
          <w:szCs w:val="20"/>
        </w:rPr>
        <w:t xml:space="preserve"> </w:t>
      </w:r>
      <w:r w:rsidRPr="007E1768" w:rsidR="007E1768">
        <w:rPr>
          <w:rFonts w:ascii="Arial" w:hAnsi="Arial" w:cs="Arial"/>
          <w:sz w:val="20"/>
          <w:szCs w:val="20"/>
        </w:rPr>
        <w:t>Alvaro Hernan Velez Trujillo</w:t>
      </w:r>
    </w:p>
    <w:p w:rsidR="005129D7" w:rsidRPr="005129D7" w:rsidP="005129D7" w14:paraId="1AB7758B" w14:textId="726F1FB5">
      <w:pPr>
        <w:tabs>
          <w:tab w:val="left" w:pos="5565"/>
        </w:tabs>
        <w:spacing w:after="0" w:line="252" w:lineRule="auto"/>
        <w:jc w:val="both"/>
        <w:rPr>
          <w:rFonts w:ascii="Arial" w:hAnsi="Arial" w:cs="Arial"/>
          <w:sz w:val="20"/>
          <w:szCs w:val="20"/>
        </w:rPr>
      </w:pPr>
      <w:r>
        <w:rPr>
          <w:rFonts w:ascii="Arial" w:hAnsi="Arial" w:cs="Arial"/>
          <w:sz w:val="20"/>
          <w:szCs w:val="20"/>
        </w:rPr>
        <w:t>Representante Legal</w:t>
      </w:r>
    </w:p>
    <w:p w:rsidR="007E1768" w:rsidP="005129D7" w14:paraId="19F83A98" w14:textId="7E1B314B">
      <w:pPr>
        <w:tabs>
          <w:tab w:val="left" w:pos="5565"/>
        </w:tabs>
        <w:spacing w:after="0" w:line="252" w:lineRule="auto"/>
        <w:jc w:val="both"/>
        <w:rPr>
          <w:rFonts w:ascii="Arial" w:hAnsi="Arial" w:cs="Arial"/>
          <w:bCs/>
          <w:sz w:val="20"/>
          <w:szCs w:val="20"/>
        </w:rPr>
      </w:pPr>
      <w:r>
        <w:rPr>
          <w:rFonts w:ascii="Arial" w:hAnsi="Arial" w:cs="Arial"/>
          <w:bCs/>
          <w:sz w:val="20"/>
          <w:szCs w:val="20"/>
        </w:rPr>
        <w:t>K</w:t>
      </w:r>
      <w:r w:rsidRPr="007E1768">
        <w:rPr>
          <w:rFonts w:ascii="Arial" w:hAnsi="Arial" w:cs="Arial"/>
          <w:bCs/>
          <w:sz w:val="20"/>
          <w:szCs w:val="20"/>
        </w:rPr>
        <w:t>R 19 A 90 13</w:t>
      </w:r>
    </w:p>
    <w:p w:rsidR="007E1768" w:rsidP="005129D7" w14:paraId="6BB4FE35" w14:textId="2A70E26A">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Teléfono: </w:t>
      </w:r>
      <w:r w:rsidRPr="00792C16" w:rsidR="00792C16">
        <w:rPr>
          <w:rFonts w:ascii="Arial" w:hAnsi="Arial" w:cs="Arial"/>
          <w:bCs/>
          <w:sz w:val="20"/>
          <w:szCs w:val="20"/>
        </w:rPr>
        <w:t>6016541000</w:t>
      </w:r>
    </w:p>
    <w:p w:rsidR="005129D7" w:rsidRPr="005129D7" w:rsidP="005129D7" w14:paraId="5453CA64" w14:textId="17B52BB7">
      <w:pPr>
        <w:tabs>
          <w:tab w:val="left" w:pos="5565"/>
        </w:tabs>
        <w:spacing w:after="0" w:line="252" w:lineRule="auto"/>
        <w:jc w:val="both"/>
        <w:rPr>
          <w:rFonts w:ascii="Arial" w:hAnsi="Arial" w:cs="Arial"/>
          <w:bCs/>
          <w:sz w:val="20"/>
          <w:szCs w:val="20"/>
        </w:rPr>
      </w:pPr>
      <w:r w:rsidRPr="005129D7">
        <w:rPr>
          <w:rFonts w:ascii="Arial" w:hAnsi="Arial" w:cs="Arial"/>
          <w:bCs/>
          <w:sz w:val="20"/>
          <w:szCs w:val="20"/>
        </w:rPr>
        <w:t xml:space="preserve">Correo electrónico: </w:t>
      </w:r>
      <w:r>
        <w:fldChar w:fldCharType="begin"/>
      </w:r>
      <w:r>
        <w:instrText xml:space="preserve"> HYPERLINK "mailto:juridico@triada.com.co" </w:instrText>
      </w:r>
      <w:r>
        <w:fldChar w:fldCharType="separate"/>
      </w:r>
      <w:r w:rsidRPr="00A112CA" w:rsidR="00792C16">
        <w:rPr>
          <w:rStyle w:val="Hyperlink"/>
          <w:rFonts w:ascii="Arial" w:hAnsi="Arial" w:cs="Arial"/>
          <w:sz w:val="20"/>
          <w:szCs w:val="20"/>
        </w:rPr>
        <w:t>juridico@triada.com.co</w:t>
      </w:r>
      <w:r>
        <w:fldChar w:fldCharType="end"/>
      </w:r>
      <w:r w:rsidR="00792C16">
        <w:rPr>
          <w:rFonts w:ascii="Arial" w:hAnsi="Arial" w:cs="Arial"/>
          <w:sz w:val="20"/>
          <w:szCs w:val="20"/>
        </w:rPr>
        <w:t xml:space="preserve"> </w:t>
      </w:r>
    </w:p>
    <w:p w:rsidR="00F60CD8" w:rsidRPr="00924DF2" w:rsidP="005129D7" w14:paraId="02AB0FBB" w14:textId="2D88315A">
      <w:pPr>
        <w:tabs>
          <w:tab w:val="left" w:pos="5565"/>
        </w:tabs>
        <w:spacing w:after="0" w:line="252" w:lineRule="auto"/>
        <w:jc w:val="both"/>
        <w:rPr>
          <w:rFonts w:ascii="Arial" w:hAnsi="Arial" w:cs="Arial"/>
          <w:sz w:val="20"/>
          <w:szCs w:val="20"/>
        </w:rPr>
      </w:pPr>
      <w:r w:rsidRPr="005129D7">
        <w:rPr>
          <w:rFonts w:ascii="Arial" w:hAnsi="Arial" w:cs="Arial"/>
          <w:sz w:val="20"/>
          <w:szCs w:val="20"/>
        </w:rPr>
        <w:t>Ciudad</w:t>
      </w:r>
      <w:r w:rsidRPr="00924DF2" w:rsidR="00834398">
        <w:rPr>
          <w:rFonts w:ascii="Arial" w:hAnsi="Arial" w:cs="Arial"/>
          <w:sz w:val="20"/>
          <w:szCs w:val="20"/>
        </w:rPr>
        <w:tab/>
      </w:r>
    </w:p>
    <w:p w:rsidR="00F60CD8" w:rsidRPr="00924DF2" w:rsidP="00F60CD8" w14:paraId="02AB0FBC" w14:textId="77777777">
      <w:pPr>
        <w:spacing w:after="0" w:line="252" w:lineRule="auto"/>
        <w:jc w:val="both"/>
        <w:rPr>
          <w:rFonts w:ascii="Arial" w:hAnsi="Arial" w:cs="Arial"/>
          <w:sz w:val="20"/>
          <w:szCs w:val="20"/>
        </w:rPr>
      </w:pPr>
    </w:p>
    <w:p w:rsidR="00F60CD8" w:rsidRPr="00924DF2" w:rsidP="00F60CD8" w14:paraId="02AB0FBD" w14:textId="5A29D9B9">
      <w:pPr>
        <w:spacing w:after="0" w:line="252" w:lineRule="auto"/>
        <w:ind w:left="1276" w:hanging="1276"/>
        <w:jc w:val="both"/>
        <w:rPr>
          <w:rFonts w:ascii="Arial" w:hAnsi="Arial" w:cs="Arial"/>
          <w:sz w:val="20"/>
          <w:szCs w:val="20"/>
        </w:rPr>
      </w:pPr>
      <w:r w:rsidRPr="00924DF2">
        <w:rPr>
          <w:rFonts w:ascii="Arial" w:hAnsi="Arial" w:cs="Arial"/>
          <w:b/>
          <w:sz w:val="20"/>
          <w:szCs w:val="20"/>
        </w:rPr>
        <w:t>Referencia</w:t>
      </w:r>
      <w:r w:rsidRPr="00924DF2">
        <w:rPr>
          <w:rFonts w:ascii="Arial" w:hAnsi="Arial" w:cs="Arial"/>
          <w:sz w:val="20"/>
          <w:szCs w:val="20"/>
        </w:rPr>
        <w:t xml:space="preserve">: </w:t>
      </w:r>
      <w:r w:rsidRPr="00924DF2">
        <w:rPr>
          <w:rFonts w:ascii="Arial" w:hAnsi="Arial" w:cs="Arial"/>
          <w:sz w:val="20"/>
          <w:szCs w:val="20"/>
        </w:rPr>
        <w:tab/>
        <w:t>Respuesta a radicado SDA</w:t>
      </w:r>
      <w:r w:rsidRPr="00924DF2" w:rsidR="00437BD0">
        <w:rPr>
          <w:rFonts w:ascii="Arial" w:hAnsi="Arial" w:cs="Arial"/>
          <w:sz w:val="20"/>
          <w:szCs w:val="20"/>
        </w:rPr>
        <w:t xml:space="preserve"> </w:t>
      </w:r>
      <w:r w:rsidRPr="009D6D05" w:rsidR="009D6D05">
        <w:rPr>
          <w:rFonts w:ascii="Arial" w:hAnsi="Arial" w:cs="Arial"/>
          <w:sz w:val="20"/>
          <w:szCs w:val="20"/>
        </w:rPr>
        <w:t>2025ER215922</w:t>
      </w:r>
      <w:r w:rsidR="009D6D05">
        <w:rPr>
          <w:rFonts w:ascii="Arial" w:hAnsi="Arial" w:cs="Arial"/>
          <w:sz w:val="20"/>
          <w:szCs w:val="20"/>
        </w:rPr>
        <w:t xml:space="preserve"> </w:t>
      </w:r>
      <w:r w:rsidRPr="00924DF2">
        <w:rPr>
          <w:rFonts w:ascii="Arial" w:hAnsi="Arial" w:cs="Arial"/>
          <w:sz w:val="20"/>
          <w:szCs w:val="20"/>
        </w:rPr>
        <w:t xml:space="preserve">del </w:t>
      </w:r>
      <w:r w:rsidR="009D6D05">
        <w:rPr>
          <w:rFonts w:ascii="Arial" w:hAnsi="Arial" w:cs="Arial"/>
          <w:sz w:val="20"/>
          <w:szCs w:val="20"/>
        </w:rPr>
        <w:t>18</w:t>
      </w:r>
      <w:r w:rsidRPr="00924DF2">
        <w:rPr>
          <w:rFonts w:ascii="Arial" w:hAnsi="Arial" w:cs="Arial"/>
          <w:sz w:val="20"/>
          <w:szCs w:val="20"/>
        </w:rPr>
        <w:t xml:space="preserve"> de </w:t>
      </w:r>
      <w:r w:rsidR="009D6D05">
        <w:rPr>
          <w:rFonts w:ascii="Arial" w:hAnsi="Arial" w:cs="Arial"/>
          <w:sz w:val="20"/>
          <w:szCs w:val="20"/>
        </w:rPr>
        <w:t>septiem</w:t>
      </w:r>
      <w:r w:rsidRPr="00924DF2" w:rsidR="00437BD0">
        <w:rPr>
          <w:rFonts w:ascii="Arial" w:hAnsi="Arial" w:cs="Arial"/>
          <w:sz w:val="20"/>
          <w:szCs w:val="20"/>
        </w:rPr>
        <w:t>bre</w:t>
      </w:r>
      <w:r w:rsidRPr="00924DF2">
        <w:rPr>
          <w:rFonts w:ascii="Arial" w:hAnsi="Arial" w:cs="Arial"/>
          <w:sz w:val="20"/>
          <w:szCs w:val="20"/>
        </w:rPr>
        <w:t xml:space="preserve"> de 202</w:t>
      </w:r>
      <w:r w:rsidRPr="00924DF2" w:rsidR="00437BD0">
        <w:rPr>
          <w:rFonts w:ascii="Arial" w:hAnsi="Arial" w:cs="Arial"/>
          <w:sz w:val="20"/>
          <w:szCs w:val="20"/>
        </w:rPr>
        <w:t>5</w:t>
      </w:r>
      <w:r w:rsidRPr="00924DF2">
        <w:rPr>
          <w:rFonts w:ascii="Arial" w:hAnsi="Arial" w:cs="Arial"/>
          <w:sz w:val="20"/>
          <w:szCs w:val="20"/>
        </w:rPr>
        <w:t xml:space="preserve">. Inscripción como generador de residuos de construcción y demolición - </w:t>
      </w:r>
      <w:r w:rsidRPr="00924DF2">
        <w:rPr>
          <w:rFonts w:ascii="Arial" w:hAnsi="Arial" w:cs="Arial"/>
          <w:b/>
          <w:sz w:val="20"/>
          <w:szCs w:val="20"/>
        </w:rPr>
        <w:t xml:space="preserve">PIN-GEN </w:t>
      </w:r>
      <w:r w:rsidRPr="00327E1E" w:rsidR="00327E1E">
        <w:rPr>
          <w:rFonts w:ascii="Arial" w:hAnsi="Arial" w:cs="Arial"/>
          <w:b/>
          <w:sz w:val="20"/>
          <w:szCs w:val="20"/>
        </w:rPr>
        <w:t>27694</w:t>
      </w:r>
      <w:r w:rsidRPr="00924DF2">
        <w:rPr>
          <w:rFonts w:ascii="Arial" w:hAnsi="Arial" w:cs="Arial"/>
          <w:b/>
          <w:sz w:val="20"/>
          <w:szCs w:val="20"/>
        </w:rPr>
        <w:t>.</w:t>
      </w:r>
    </w:p>
    <w:p w:rsidR="00F60CD8" w:rsidRPr="00924DF2" w:rsidP="00F60CD8" w14:paraId="02AB0FBE" w14:textId="77777777">
      <w:pPr>
        <w:spacing w:after="0" w:line="252" w:lineRule="auto"/>
        <w:ind w:left="1276" w:hanging="1276"/>
        <w:jc w:val="both"/>
        <w:rPr>
          <w:rFonts w:ascii="Arial" w:hAnsi="Arial" w:cs="Arial"/>
          <w:sz w:val="20"/>
          <w:szCs w:val="20"/>
          <w:lang w:val="es-ES"/>
        </w:rPr>
      </w:pPr>
    </w:p>
    <w:p w:rsidR="00F60CD8" w:rsidRPr="00924DF2" w:rsidP="00F60CD8" w14:paraId="02AB0FBF" w14:textId="77777777">
      <w:pPr>
        <w:tabs>
          <w:tab w:val="left" w:pos="567"/>
        </w:tabs>
        <w:spacing w:after="0" w:line="252" w:lineRule="auto"/>
        <w:jc w:val="both"/>
        <w:rPr>
          <w:rFonts w:ascii="Arial" w:hAnsi="Arial" w:cs="Arial"/>
          <w:sz w:val="20"/>
          <w:szCs w:val="20"/>
          <w:lang w:val="es-ES"/>
        </w:rPr>
      </w:pPr>
      <w:r w:rsidRPr="00924DF2">
        <w:rPr>
          <w:rFonts w:ascii="Arial" w:hAnsi="Arial" w:cs="Arial"/>
          <w:sz w:val="20"/>
          <w:szCs w:val="20"/>
          <w:lang w:val="es-ES"/>
        </w:rPr>
        <w:t>Cordial saludo,</w:t>
      </w:r>
    </w:p>
    <w:p w:rsidR="00F60CD8" w:rsidRPr="00924DF2" w:rsidP="00F60CD8" w14:paraId="02AB0FC0" w14:textId="77777777">
      <w:pPr>
        <w:tabs>
          <w:tab w:val="left" w:pos="567"/>
        </w:tabs>
        <w:spacing w:after="0" w:line="252" w:lineRule="auto"/>
        <w:jc w:val="both"/>
        <w:rPr>
          <w:rFonts w:ascii="Arial" w:hAnsi="Arial" w:cs="Arial"/>
          <w:sz w:val="20"/>
          <w:szCs w:val="20"/>
          <w:lang w:val="es-ES"/>
        </w:rPr>
      </w:pPr>
    </w:p>
    <w:p w:rsidR="00F60CD8" w:rsidRPr="00924DF2" w:rsidP="00F60CD8" w14:paraId="02AB0FC1" w14:textId="77777777">
      <w:pPr>
        <w:spacing w:after="0" w:line="252" w:lineRule="auto"/>
        <w:jc w:val="both"/>
        <w:rPr>
          <w:rFonts w:ascii="Arial" w:hAnsi="Arial" w:cs="Arial"/>
          <w:sz w:val="20"/>
          <w:szCs w:val="20"/>
        </w:rPr>
      </w:pPr>
      <w:r w:rsidRPr="00924DF2">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24DF2">
        <w:rPr>
          <w:rFonts w:ascii="Arial" w:hAnsi="Arial" w:cs="Arial"/>
          <w:i/>
          <w:sz w:val="20"/>
          <w:szCs w:val="20"/>
        </w:rPr>
        <w:t>Por medio del cual se expide el Decreto Único Distrital del Sector Ambiente</w:t>
      </w:r>
      <w:r w:rsidRPr="00924DF2">
        <w:rPr>
          <w:rFonts w:ascii="Arial" w:hAnsi="Arial" w:cs="Arial"/>
          <w:sz w:val="20"/>
          <w:szCs w:val="20"/>
        </w:rPr>
        <w:t>”, y en concordancia con lo dispuesto en la Resolución SDA 02116 de 2025, artículo 8°, informa:</w:t>
      </w:r>
    </w:p>
    <w:p w:rsidR="00F60CD8" w:rsidRPr="00924DF2" w:rsidP="00F60CD8" w14:paraId="02AB0FC2" w14:textId="77777777">
      <w:pPr>
        <w:spacing w:after="0" w:line="252" w:lineRule="auto"/>
        <w:jc w:val="both"/>
        <w:rPr>
          <w:rFonts w:ascii="Arial" w:hAnsi="Arial" w:cs="Arial"/>
          <w:sz w:val="20"/>
          <w:szCs w:val="20"/>
        </w:rPr>
      </w:pPr>
    </w:p>
    <w:p w:rsidR="00F60CD8" w:rsidRPr="00924DF2" w:rsidP="00F60CD8" w14:paraId="02AB0FC3" w14:textId="77777777">
      <w:pPr>
        <w:spacing w:after="0" w:line="252" w:lineRule="auto"/>
        <w:ind w:left="708"/>
        <w:jc w:val="both"/>
        <w:rPr>
          <w:rFonts w:ascii="Arial" w:hAnsi="Arial" w:cs="Arial"/>
          <w:i/>
          <w:sz w:val="20"/>
          <w:szCs w:val="20"/>
        </w:rPr>
      </w:pPr>
      <w:r w:rsidRPr="00924DF2">
        <w:rPr>
          <w:rFonts w:ascii="Arial" w:hAnsi="Arial" w:cs="Arial"/>
          <w:i/>
          <w:sz w:val="20"/>
          <w:szCs w:val="20"/>
        </w:rPr>
        <w:t xml:space="preserve">“(…) </w:t>
      </w:r>
      <w:r w:rsidRPr="00924DF2">
        <w:rPr>
          <w:rFonts w:ascii="Arial" w:hAnsi="Arial" w:cs="Arial"/>
          <w:b/>
          <w:i/>
          <w:sz w:val="20"/>
          <w:szCs w:val="20"/>
        </w:rPr>
        <w:t>Artículo 8. Subdirección del Recurso Suelo</w:t>
      </w:r>
      <w:r w:rsidRPr="00924DF2">
        <w:rPr>
          <w:rFonts w:ascii="Arial" w:hAnsi="Arial" w:cs="Arial"/>
          <w:i/>
          <w:sz w:val="20"/>
          <w:szCs w:val="20"/>
        </w:rPr>
        <w:t xml:space="preserve">. Delegar a la Subdirección del Recurso Suelo las siguientes funciones: </w:t>
      </w:r>
    </w:p>
    <w:p w:rsidR="00F60CD8" w:rsidRPr="00924DF2" w:rsidP="00F60CD8" w14:paraId="02AB0FC4" w14:textId="77777777">
      <w:pPr>
        <w:spacing w:after="0" w:line="252" w:lineRule="auto"/>
        <w:ind w:left="708"/>
        <w:jc w:val="both"/>
        <w:rPr>
          <w:rFonts w:ascii="Arial" w:hAnsi="Arial" w:cs="Arial"/>
          <w:i/>
          <w:sz w:val="20"/>
          <w:szCs w:val="20"/>
        </w:rPr>
      </w:pPr>
    </w:p>
    <w:p w:rsidR="00F60CD8" w:rsidRPr="00924DF2" w:rsidP="00F60CD8" w14:paraId="02AB0FC5" w14:textId="77777777">
      <w:pPr>
        <w:spacing w:after="0" w:line="252" w:lineRule="auto"/>
        <w:ind w:left="708"/>
        <w:jc w:val="both"/>
        <w:rPr>
          <w:rFonts w:ascii="Arial" w:hAnsi="Arial" w:cs="Arial"/>
          <w:i/>
          <w:sz w:val="20"/>
          <w:szCs w:val="20"/>
        </w:rPr>
      </w:pPr>
      <w:r w:rsidRPr="00924DF2">
        <w:rPr>
          <w:rFonts w:ascii="Arial" w:hAnsi="Arial" w:cs="Arial"/>
          <w:i/>
          <w:sz w:val="20"/>
          <w:szCs w:val="20"/>
        </w:rPr>
        <w:t>e. Resolver las solicitudes de asignación y cierre de PIN de Residuos de Construcción y Demolición RCD (…)”</w:t>
      </w:r>
    </w:p>
    <w:p w:rsidR="00F60CD8" w:rsidRPr="00924DF2" w:rsidP="00F60CD8" w14:paraId="02AB0FC6" w14:textId="77777777">
      <w:pPr>
        <w:spacing w:after="0" w:line="252" w:lineRule="auto"/>
        <w:ind w:left="708"/>
        <w:jc w:val="both"/>
        <w:rPr>
          <w:rFonts w:ascii="Arial" w:hAnsi="Arial" w:cs="Arial"/>
          <w:i/>
          <w:sz w:val="20"/>
          <w:szCs w:val="20"/>
        </w:rPr>
      </w:pPr>
    </w:p>
    <w:p w:rsidR="00F60CD8" w:rsidRPr="00924DF2" w:rsidP="00F60CD8" w14:paraId="02AB0FC7" w14:textId="1E8CE70F">
      <w:pPr>
        <w:spacing w:after="0" w:line="252" w:lineRule="auto"/>
        <w:jc w:val="both"/>
        <w:rPr>
          <w:rFonts w:ascii="Arial" w:hAnsi="Arial" w:cs="Arial"/>
          <w:sz w:val="20"/>
          <w:szCs w:val="20"/>
        </w:rPr>
      </w:pPr>
      <w:r w:rsidRPr="00924DF2">
        <w:rPr>
          <w:rFonts w:ascii="Arial" w:hAnsi="Arial" w:cs="Arial"/>
          <w:sz w:val="20"/>
          <w:szCs w:val="20"/>
        </w:rPr>
        <w:t>A través de la Subdirección del Recurso Suelo y en atención al radicado de la referencia mediante el cual se efectuó la inscripción del proyecto constructivo “</w:t>
      </w:r>
      <w:r w:rsidRPr="00C376CB" w:rsidR="00C376CB">
        <w:rPr>
          <w:rFonts w:ascii="Arial" w:hAnsi="Arial" w:cs="Arial"/>
          <w:i/>
          <w:sz w:val="20"/>
          <w:szCs w:val="20"/>
        </w:rPr>
        <w:t>LAS ATALAYAS</w:t>
      </w:r>
      <w:r w:rsidR="00203A40">
        <w:rPr>
          <w:rFonts w:ascii="Arial" w:hAnsi="Arial" w:cs="Arial"/>
          <w:i/>
          <w:sz w:val="20"/>
          <w:szCs w:val="20"/>
        </w:rPr>
        <w:t xml:space="preserve">” </w:t>
      </w:r>
      <w:r w:rsidRPr="00924DF2">
        <w:rPr>
          <w:rFonts w:ascii="Arial" w:hAnsi="Arial" w:cs="Arial"/>
          <w:sz w:val="20"/>
          <w:szCs w:val="20"/>
        </w:rPr>
        <w:t xml:space="preserve">y al cual le fue asignado el </w:t>
      </w:r>
      <w:r w:rsidRPr="00924DF2">
        <w:rPr>
          <w:rFonts w:ascii="Arial" w:hAnsi="Arial" w:cs="Arial"/>
          <w:b/>
          <w:bCs/>
          <w:sz w:val="20"/>
          <w:szCs w:val="20"/>
        </w:rPr>
        <w:t xml:space="preserve">PIN-GEN </w:t>
      </w:r>
      <w:r w:rsidRPr="00327E1E" w:rsidR="00C376CB">
        <w:rPr>
          <w:rFonts w:ascii="Arial" w:hAnsi="Arial" w:cs="Arial"/>
          <w:b/>
          <w:sz w:val="20"/>
          <w:szCs w:val="20"/>
        </w:rPr>
        <w:t>27694</w:t>
      </w:r>
      <w:r w:rsidRPr="00924DF2">
        <w:rPr>
          <w:rFonts w:ascii="Arial" w:hAnsi="Arial" w:cs="Arial"/>
          <w:sz w:val="20"/>
          <w:szCs w:val="20"/>
        </w:rPr>
        <w:t>, como generador de residuos de construcción y demolición, de manera atenta informa:</w:t>
      </w:r>
    </w:p>
    <w:p w:rsidR="00F60CD8" w:rsidRPr="00924DF2" w:rsidP="00F60CD8" w14:paraId="02AB0FC8" w14:textId="77777777">
      <w:pPr>
        <w:spacing w:after="0" w:line="252" w:lineRule="auto"/>
        <w:jc w:val="both"/>
        <w:rPr>
          <w:rFonts w:ascii="Arial" w:hAnsi="Arial" w:cs="Arial"/>
          <w:sz w:val="20"/>
          <w:szCs w:val="20"/>
        </w:rPr>
      </w:pPr>
    </w:p>
    <w:p w:rsidR="00F60CD8" w:rsidRPr="00924DF2" w:rsidP="00F60CD8" w14:paraId="02AB0FC9" w14:textId="77777777">
      <w:pPr>
        <w:spacing w:after="0" w:line="252" w:lineRule="auto"/>
        <w:jc w:val="both"/>
        <w:rPr>
          <w:rFonts w:ascii="Arial" w:hAnsi="Arial" w:cs="Arial"/>
          <w:sz w:val="20"/>
          <w:szCs w:val="20"/>
        </w:rPr>
      </w:pPr>
      <w:r w:rsidRPr="00924DF2">
        <w:rPr>
          <w:rFonts w:ascii="Arial" w:hAnsi="Arial" w:cs="Arial"/>
          <w:sz w:val="20"/>
          <w:szCs w:val="20"/>
        </w:rPr>
        <w:t xml:space="preserve">A partir del 01 de noviembre de 2023 </w:t>
      </w:r>
      <w:r w:rsidRPr="00924DF2">
        <w:rPr>
          <w:rFonts w:ascii="Arial" w:hAnsi="Arial" w:cs="Arial"/>
          <w:sz w:val="20"/>
          <w:szCs w:val="20"/>
        </w:rPr>
        <w:t>entró en vigencia</w:t>
      </w:r>
      <w:r w:rsidRPr="00924DF2">
        <w:rPr>
          <w:rFonts w:ascii="Arial" w:hAnsi="Arial" w:cs="Arial"/>
          <w:sz w:val="20"/>
          <w:szCs w:val="20"/>
        </w:rPr>
        <w:t xml:space="preserve"> el Decreto 507 de 2023 “</w:t>
      </w:r>
      <w:r w:rsidRPr="00924DF2">
        <w:rPr>
          <w:rFonts w:ascii="Arial" w:hAnsi="Arial" w:cs="Arial"/>
          <w:i/>
          <w:sz w:val="20"/>
          <w:szCs w:val="20"/>
        </w:rPr>
        <w:t>Por el cual se adopta el modelo y los lineamientos para la gestión integral de los Residuos de Construcción y Demolición – RCD en Bogotá D.C., y se dictan otras disposiciones</w:t>
      </w:r>
      <w:r w:rsidRPr="00924DF2">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24DF2" w:rsidR="00533866">
        <w:rPr>
          <w:rFonts w:ascii="Arial" w:hAnsi="Arial" w:cs="Arial"/>
          <w:sz w:val="20"/>
          <w:szCs w:val="20"/>
        </w:rPr>
        <w:t>.</w:t>
      </w:r>
    </w:p>
    <w:p w:rsidR="00F60CD8" w:rsidRPr="00924DF2" w:rsidP="00F60CD8" w14:paraId="02AB0FCA" w14:textId="77777777">
      <w:pPr>
        <w:spacing w:after="0" w:line="252" w:lineRule="auto"/>
        <w:jc w:val="both"/>
        <w:rPr>
          <w:rFonts w:ascii="Arial" w:hAnsi="Arial" w:cs="Arial"/>
          <w:sz w:val="20"/>
          <w:szCs w:val="20"/>
        </w:rPr>
      </w:pPr>
    </w:p>
    <w:p w:rsidR="00F60CD8" w:rsidRPr="00924DF2" w:rsidP="00F60CD8" w14:paraId="02AB0FCB" w14:textId="16975C20">
      <w:pPr>
        <w:spacing w:after="0" w:line="252" w:lineRule="auto"/>
        <w:jc w:val="both"/>
        <w:rPr>
          <w:rFonts w:ascii="Arial" w:hAnsi="Arial" w:cs="Arial"/>
          <w:color w:val="000000"/>
          <w:sz w:val="20"/>
          <w:szCs w:val="20"/>
          <w:lang w:eastAsia="es-CO"/>
        </w:rPr>
      </w:pPr>
      <w:r w:rsidRPr="00924DF2">
        <w:rPr>
          <w:rFonts w:ascii="Arial" w:hAnsi="Arial" w:cs="Arial"/>
          <w:color w:val="000000"/>
          <w:sz w:val="20"/>
          <w:szCs w:val="20"/>
        </w:rPr>
        <w:t xml:space="preserve">En ese orden de ideas, </w:t>
      </w:r>
      <w:r w:rsidRPr="00924DF2">
        <w:rPr>
          <w:rFonts w:ascii="Arial" w:hAnsi="Arial" w:cs="Arial"/>
          <w:color w:val="000000"/>
          <w:sz w:val="20"/>
          <w:szCs w:val="20"/>
          <w:lang w:eastAsia="es-CO"/>
        </w:rPr>
        <w:t xml:space="preserve">teniendo en cuenta que el proyecto es de carácter </w:t>
      </w:r>
      <w:r w:rsidRPr="00924DF2" w:rsidR="009D6E81">
        <w:rPr>
          <w:rFonts w:ascii="Arial" w:hAnsi="Arial" w:cs="Arial"/>
          <w:color w:val="000000"/>
          <w:sz w:val="20"/>
          <w:szCs w:val="20"/>
          <w:lang w:eastAsia="es-CO"/>
        </w:rPr>
        <w:t>p</w:t>
      </w:r>
      <w:r w:rsidR="00172418">
        <w:rPr>
          <w:rFonts w:ascii="Arial" w:hAnsi="Arial" w:cs="Arial"/>
          <w:color w:val="000000"/>
          <w:sz w:val="20"/>
          <w:szCs w:val="20"/>
          <w:lang w:eastAsia="es-CO"/>
        </w:rPr>
        <w:t>rivado</w:t>
      </w:r>
      <w:r w:rsidRPr="00924DF2">
        <w:rPr>
          <w:rFonts w:ascii="Arial" w:hAnsi="Arial" w:cs="Arial"/>
          <w:color w:val="000000"/>
          <w:sz w:val="20"/>
          <w:szCs w:val="20"/>
          <w:lang w:eastAsia="es-CO"/>
        </w:rPr>
        <w:t xml:space="preserve"> y se registró en el aplicativo web el </w:t>
      </w:r>
      <w:r w:rsidR="00C376CB">
        <w:rPr>
          <w:rFonts w:ascii="Arial" w:hAnsi="Arial" w:cs="Arial"/>
          <w:sz w:val="20"/>
          <w:szCs w:val="20"/>
        </w:rPr>
        <w:t>18</w:t>
      </w:r>
      <w:r w:rsidRPr="00924DF2" w:rsidR="00C376CB">
        <w:rPr>
          <w:rFonts w:ascii="Arial" w:hAnsi="Arial" w:cs="Arial"/>
          <w:sz w:val="20"/>
          <w:szCs w:val="20"/>
        </w:rPr>
        <w:t xml:space="preserve"> de </w:t>
      </w:r>
      <w:r w:rsidR="00C376CB">
        <w:rPr>
          <w:rFonts w:ascii="Arial" w:hAnsi="Arial" w:cs="Arial"/>
          <w:sz w:val="20"/>
          <w:szCs w:val="20"/>
        </w:rPr>
        <w:t>septiem</w:t>
      </w:r>
      <w:r w:rsidRPr="00924DF2" w:rsidR="00C376CB">
        <w:rPr>
          <w:rFonts w:ascii="Arial" w:hAnsi="Arial" w:cs="Arial"/>
          <w:sz w:val="20"/>
          <w:szCs w:val="20"/>
        </w:rPr>
        <w:t>bre de 2025</w:t>
      </w:r>
      <w:r w:rsidRPr="00924DF2" w:rsidR="00533866">
        <w:rPr>
          <w:rFonts w:ascii="Arial" w:hAnsi="Arial" w:cs="Arial"/>
          <w:color w:val="000000"/>
          <w:sz w:val="20"/>
          <w:szCs w:val="20"/>
          <w:lang w:eastAsia="es-CO"/>
        </w:rPr>
        <w:t>,</w:t>
      </w:r>
      <w:r w:rsidR="004A1605">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 xml:space="preserve">con </w:t>
      </w:r>
      <w:r w:rsidR="004A1605">
        <w:rPr>
          <w:rFonts w:ascii="Arial" w:hAnsi="Arial" w:cs="Arial"/>
          <w:color w:val="000000"/>
          <w:sz w:val="20"/>
          <w:szCs w:val="20"/>
          <w:lang w:eastAsia="es-CO"/>
        </w:rPr>
        <w:t xml:space="preserve">un </w:t>
      </w:r>
      <w:r w:rsidRPr="004A1605" w:rsidR="004A1605">
        <w:rPr>
          <w:rFonts w:ascii="Arial" w:hAnsi="Arial" w:cs="Arial"/>
          <w:color w:val="000000"/>
          <w:sz w:val="20"/>
          <w:szCs w:val="20"/>
          <w:lang w:eastAsia="es-CO"/>
        </w:rPr>
        <w:t xml:space="preserve">área a construir o intervenir de </w:t>
      </w:r>
      <w:r w:rsidRPr="00C376CB" w:rsidR="00C376CB">
        <w:rPr>
          <w:rFonts w:ascii="Arial" w:hAnsi="Arial" w:cs="Arial"/>
          <w:color w:val="000000"/>
          <w:sz w:val="20"/>
          <w:szCs w:val="20"/>
          <w:lang w:eastAsia="es-CO"/>
        </w:rPr>
        <w:t>8391</w:t>
      </w:r>
      <w:r w:rsidR="00C376CB">
        <w:rPr>
          <w:rFonts w:ascii="Arial" w:hAnsi="Arial" w:cs="Arial"/>
          <w:color w:val="000000"/>
          <w:sz w:val="20"/>
          <w:szCs w:val="20"/>
          <w:lang w:eastAsia="es-CO"/>
        </w:rPr>
        <w:t>,</w:t>
      </w:r>
      <w:r w:rsidRPr="00C376CB" w:rsidR="00C376CB">
        <w:rPr>
          <w:rFonts w:ascii="Arial" w:hAnsi="Arial" w:cs="Arial"/>
          <w:color w:val="000000"/>
          <w:sz w:val="20"/>
          <w:szCs w:val="20"/>
          <w:lang w:eastAsia="es-CO"/>
        </w:rPr>
        <w:t>80</w:t>
      </w:r>
      <w:r w:rsidR="00C376CB">
        <w:rPr>
          <w:rFonts w:ascii="Arial" w:hAnsi="Arial" w:cs="Arial"/>
          <w:color w:val="000000"/>
          <w:sz w:val="20"/>
          <w:szCs w:val="20"/>
          <w:lang w:eastAsia="es-CO"/>
        </w:rPr>
        <w:t xml:space="preserve"> </w:t>
      </w:r>
      <w:r w:rsidRPr="004A1605" w:rsidR="004A1605">
        <w:rPr>
          <w:rFonts w:ascii="Arial" w:hAnsi="Arial" w:cs="Arial"/>
          <w:color w:val="000000"/>
          <w:sz w:val="20"/>
          <w:szCs w:val="20"/>
          <w:lang w:eastAsia="es-CO"/>
        </w:rPr>
        <w:t>m</w:t>
      </w:r>
      <w:r w:rsidRPr="004A1605" w:rsidR="004A1605">
        <w:rPr>
          <w:rFonts w:ascii="Arial" w:hAnsi="Arial" w:cs="Arial"/>
          <w:color w:val="000000"/>
          <w:sz w:val="20"/>
          <w:szCs w:val="20"/>
          <w:vertAlign w:val="superscript"/>
          <w:lang w:eastAsia="es-CO"/>
        </w:rPr>
        <w:t>2</w:t>
      </w:r>
      <w:r w:rsidR="004A1605">
        <w:rPr>
          <w:rFonts w:ascii="Arial" w:hAnsi="Arial" w:cs="Arial"/>
          <w:color w:val="000000"/>
          <w:sz w:val="20"/>
          <w:szCs w:val="20"/>
          <w:lang w:eastAsia="es-CO"/>
        </w:rPr>
        <w:t xml:space="preserve">, </w:t>
      </w:r>
      <w:r w:rsidRPr="00924DF2">
        <w:rPr>
          <w:rFonts w:ascii="Arial" w:hAnsi="Arial" w:cs="Arial"/>
          <w:color w:val="000000"/>
          <w:sz w:val="20"/>
          <w:szCs w:val="20"/>
          <w:lang w:eastAsia="es-CO"/>
        </w:rPr>
        <w:t xml:space="preserve">esta entidad le informa que deberá dar cumplimiento a las disposiciones </w:t>
      </w:r>
      <w:r w:rsidRPr="00924DF2" w:rsidR="00533866">
        <w:rPr>
          <w:rFonts w:ascii="Arial" w:hAnsi="Arial" w:cs="Arial"/>
          <w:color w:val="000000"/>
          <w:sz w:val="20"/>
          <w:szCs w:val="20"/>
          <w:lang w:eastAsia="es-CO"/>
        </w:rPr>
        <w:t xml:space="preserve">del artículo 32° del Decreto 507 de 2023 </w:t>
      </w:r>
      <w:r w:rsidRPr="00924DF2" w:rsidR="00533866">
        <w:rPr>
          <w:rFonts w:ascii="Arial" w:hAnsi="Arial" w:cs="Arial"/>
          <w:i/>
          <w:iCs/>
          <w:color w:val="000000"/>
          <w:sz w:val="20"/>
          <w:szCs w:val="20"/>
          <w:lang w:eastAsia="es-CO"/>
        </w:rPr>
        <w:t>“Por el cual se adopta el modelo y los lineamientos para la gestión integral de los Residuos de Construcción y Demolición – RCD en Bogotá D.C., y se dictan otras disposiciones”</w:t>
      </w:r>
      <w:r w:rsidRPr="00924DF2" w:rsidR="00533866">
        <w:rPr>
          <w:rFonts w:ascii="Arial" w:hAnsi="Arial" w:cs="Arial"/>
          <w:color w:val="000000"/>
          <w:sz w:val="20"/>
          <w:szCs w:val="20"/>
        </w:rPr>
        <w:t>, compilado en el artículo 246° del Decreto 646 de 2025</w:t>
      </w:r>
      <w:r w:rsidRPr="00924DF2" w:rsidR="00533866">
        <w:rPr>
          <w:rFonts w:ascii="Arial" w:hAnsi="Arial" w:cs="Arial"/>
          <w:color w:val="000000"/>
          <w:sz w:val="20"/>
          <w:szCs w:val="20"/>
          <w:lang w:eastAsia="es-CO"/>
        </w:rPr>
        <w:t xml:space="preserve"> </w:t>
      </w:r>
      <w:r w:rsidRPr="00924DF2">
        <w:rPr>
          <w:rFonts w:ascii="Arial" w:hAnsi="Arial" w:cs="Arial"/>
          <w:color w:val="000000"/>
          <w:sz w:val="20"/>
          <w:szCs w:val="20"/>
        </w:rPr>
        <w:t xml:space="preserve">como </w:t>
      </w:r>
      <w:r w:rsidRPr="00924DF2" w:rsidR="00C43A51">
        <w:rPr>
          <w:rFonts w:ascii="Arial" w:hAnsi="Arial" w:cs="Arial"/>
          <w:b/>
          <w:bCs/>
          <w:color w:val="000000"/>
          <w:sz w:val="20"/>
          <w:szCs w:val="20"/>
          <w:u w:val="single"/>
          <w:lang w:eastAsia="es-CO"/>
        </w:rPr>
        <w:t>gran generado</w:t>
      </w:r>
      <w:r w:rsidRPr="00924DF2" w:rsidR="00192946">
        <w:rPr>
          <w:rFonts w:ascii="Arial" w:hAnsi="Arial" w:cs="Arial"/>
          <w:b/>
          <w:bCs/>
          <w:color w:val="000000"/>
          <w:sz w:val="20"/>
          <w:szCs w:val="20"/>
          <w:u w:val="single"/>
          <w:lang w:eastAsia="es-CO"/>
        </w:rPr>
        <w:t>r</w:t>
      </w:r>
      <w:r w:rsidRPr="00924DF2" w:rsidR="00533866">
        <w:rPr>
          <w:rFonts w:ascii="Arial" w:hAnsi="Arial" w:cs="Arial"/>
          <w:b/>
          <w:bCs/>
          <w:color w:val="000000"/>
          <w:sz w:val="20"/>
          <w:szCs w:val="20"/>
          <w:u w:val="single"/>
          <w:lang w:eastAsia="es-CO"/>
        </w:rPr>
        <w:t xml:space="preserve"> </w:t>
      </w:r>
      <w:r w:rsidRPr="00924DF2">
        <w:rPr>
          <w:rFonts w:ascii="Arial" w:hAnsi="Arial" w:cs="Arial"/>
          <w:b/>
          <w:bCs/>
          <w:sz w:val="20"/>
          <w:szCs w:val="20"/>
          <w:lang w:eastAsia="es-CO"/>
        </w:rPr>
        <w:t xml:space="preserve"> </w:t>
      </w:r>
      <w:r w:rsidRPr="00924DF2">
        <w:rPr>
          <w:rFonts w:ascii="Arial" w:hAnsi="Arial" w:cs="Arial"/>
          <w:sz w:val="20"/>
          <w:szCs w:val="20"/>
          <w:lang w:eastAsia="es-CO"/>
        </w:rPr>
        <w:t>de</w:t>
      </w:r>
      <w:r w:rsidRPr="00924DF2">
        <w:rPr>
          <w:rFonts w:ascii="Arial" w:hAnsi="Arial" w:cs="Arial"/>
          <w:b/>
          <w:bCs/>
          <w:sz w:val="20"/>
          <w:szCs w:val="20"/>
          <w:lang w:eastAsia="es-CO"/>
        </w:rPr>
        <w:t xml:space="preserve"> </w:t>
      </w:r>
      <w:r w:rsidRPr="00924DF2">
        <w:rPr>
          <w:rFonts w:ascii="Arial" w:hAnsi="Arial" w:cs="Arial"/>
          <w:color w:val="000000"/>
          <w:sz w:val="20"/>
          <w:szCs w:val="20"/>
          <w:lang w:eastAsia="es-CO"/>
        </w:rPr>
        <w:t xml:space="preserve">residuos de construcción y demolición, conforme a lo definido en el artículo </w:t>
      </w:r>
      <w:r w:rsidRPr="00924DF2" w:rsidR="00533866">
        <w:rPr>
          <w:rFonts w:ascii="Arial" w:hAnsi="Arial" w:cs="Arial"/>
          <w:color w:val="000000"/>
          <w:sz w:val="20"/>
          <w:szCs w:val="20"/>
          <w:lang w:eastAsia="es-CO"/>
        </w:rPr>
        <w:t>217, numeral 1</w:t>
      </w:r>
      <w:r w:rsidRPr="00924DF2" w:rsidR="00C43A51">
        <w:rPr>
          <w:rFonts w:ascii="Arial" w:hAnsi="Arial" w:cs="Arial"/>
          <w:color w:val="000000"/>
          <w:sz w:val="20"/>
          <w:szCs w:val="20"/>
          <w:lang w:eastAsia="es-CO"/>
        </w:rPr>
        <w:t>2</w:t>
      </w:r>
      <w:r w:rsidRPr="00924DF2" w:rsidR="00533866">
        <w:rPr>
          <w:rFonts w:ascii="Arial" w:hAnsi="Arial" w:cs="Arial"/>
          <w:color w:val="000000"/>
          <w:sz w:val="20"/>
          <w:szCs w:val="20"/>
          <w:lang w:eastAsia="es-CO"/>
        </w:rPr>
        <w:t>:</w:t>
      </w:r>
    </w:p>
    <w:p w:rsidR="00F60CD8" w:rsidRPr="00924DF2" w:rsidP="00F60CD8" w14:paraId="02AB0FCC" w14:textId="77777777">
      <w:pPr>
        <w:pStyle w:val="NormalWeb"/>
        <w:spacing w:before="0" w:beforeAutospacing="0" w:after="0" w:afterAutospacing="0" w:line="252" w:lineRule="auto"/>
        <w:jc w:val="both"/>
        <w:rPr>
          <w:rFonts w:ascii="Arial" w:hAnsi="Arial" w:cs="Arial"/>
          <w:color w:val="000000"/>
          <w:sz w:val="20"/>
          <w:szCs w:val="20"/>
          <w:lang w:val="es-CO"/>
        </w:rPr>
      </w:pPr>
    </w:p>
    <w:p w:rsidR="00FC3305" w:rsidRPr="00924DF2" w:rsidP="00FC3305" w14:paraId="02AB0FCD"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i/>
          <w:iCs/>
          <w:color w:val="000000"/>
          <w:sz w:val="20"/>
          <w:szCs w:val="20"/>
          <w:lang w:eastAsia="es-CO"/>
        </w:rPr>
        <w:t xml:space="preserve">“(…) </w:t>
      </w:r>
      <w:r w:rsidRPr="00924DF2" w:rsidR="006A610D">
        <w:rPr>
          <w:rFonts w:ascii="Arial" w:hAnsi="Arial" w:cs="Arial"/>
          <w:b/>
          <w:bCs/>
          <w:i/>
          <w:iCs/>
          <w:color w:val="000000"/>
          <w:sz w:val="20"/>
          <w:szCs w:val="20"/>
          <w:lang w:eastAsia="es-CO"/>
        </w:rPr>
        <w:t>1</w:t>
      </w:r>
      <w:r w:rsidRPr="00924DF2">
        <w:rPr>
          <w:rFonts w:ascii="Arial" w:hAnsi="Arial" w:cs="Arial"/>
          <w:b/>
          <w:bCs/>
          <w:i/>
          <w:iCs/>
          <w:color w:val="000000"/>
          <w:sz w:val="20"/>
          <w:szCs w:val="20"/>
          <w:lang w:eastAsia="es-CO"/>
        </w:rPr>
        <w:t>2</w:t>
      </w:r>
      <w:r w:rsidRPr="00924DF2" w:rsidR="00721108">
        <w:rPr>
          <w:rFonts w:ascii="Arial" w:hAnsi="Arial" w:cs="Arial"/>
          <w:b/>
          <w:bCs/>
          <w:i/>
          <w:iCs/>
          <w:color w:val="000000"/>
          <w:sz w:val="20"/>
          <w:szCs w:val="20"/>
          <w:lang w:eastAsia="es-CO"/>
        </w:rPr>
        <w:t>.</w:t>
      </w:r>
      <w:r w:rsidRPr="00924DF2">
        <w:rPr>
          <w:rFonts w:ascii="Arial" w:hAnsi="Arial" w:cs="Arial"/>
          <w:b/>
          <w:bCs/>
          <w:i/>
          <w:iCs/>
          <w:color w:val="000000"/>
          <w:sz w:val="20"/>
          <w:szCs w:val="20"/>
          <w:lang w:eastAsia="es-CO"/>
        </w:rPr>
        <w:t xml:space="preserve"> </w:t>
      </w:r>
      <w:r w:rsidRPr="00924DF2">
        <w:rPr>
          <w:rFonts w:ascii="Arial" w:hAnsi="Arial" w:cs="Arial"/>
          <w:b/>
          <w:bCs/>
          <w:i/>
          <w:iCs/>
          <w:color w:val="000000"/>
          <w:sz w:val="20"/>
          <w:szCs w:val="20"/>
          <w:lang w:val="es-ES_tradnl" w:eastAsia="es-CO"/>
        </w:rPr>
        <w:t>Gran generador de RCD:</w:t>
      </w:r>
      <w:r w:rsidRPr="00924DF2">
        <w:rPr>
          <w:rFonts w:ascii="Arial" w:hAnsi="Arial" w:cs="Arial"/>
          <w:i/>
          <w:iCs/>
          <w:color w:val="000000"/>
          <w:sz w:val="20"/>
          <w:szCs w:val="20"/>
          <w:lang w:val="es-ES_tradnl" w:eastAsia="es-CO"/>
        </w:rPr>
        <w:t> Es el generador de RCD que cumple con las siguientes condiciones:</w:t>
      </w:r>
    </w:p>
    <w:p w:rsidR="00FC3305" w:rsidRPr="00924DF2" w:rsidP="00FC3305" w14:paraId="02AB0FCE" w14:textId="77777777">
      <w:pPr>
        <w:shd w:val="clear" w:color="auto" w:fill="FFFFFF"/>
        <w:spacing w:after="0" w:line="252" w:lineRule="auto"/>
        <w:ind w:left="708"/>
        <w:jc w:val="both"/>
        <w:rPr>
          <w:rFonts w:ascii="Arial" w:hAnsi="Arial" w:cs="Arial"/>
          <w:b/>
          <w:bCs/>
          <w:i/>
          <w:iCs/>
          <w:color w:val="000000"/>
          <w:sz w:val="20"/>
          <w:szCs w:val="20"/>
          <w:lang w:eastAsia="es-CO"/>
        </w:rPr>
      </w:pPr>
      <w:r w:rsidRPr="00924DF2">
        <w:rPr>
          <w:rFonts w:ascii="Arial" w:hAnsi="Arial" w:cs="Arial"/>
          <w:b/>
          <w:bCs/>
          <w:i/>
          <w:iCs/>
          <w:color w:val="000000"/>
          <w:sz w:val="20"/>
          <w:szCs w:val="20"/>
          <w:lang w:val="es-ES_tradnl" w:eastAsia="es-CO"/>
        </w:rPr>
        <w:t> </w:t>
      </w:r>
    </w:p>
    <w:p w:rsidR="00F60CD8" w:rsidRPr="008C123C" w:rsidP="008C123C" w14:paraId="02AB0FD1" w14:textId="2C9A322A">
      <w:pPr>
        <w:shd w:val="clear" w:color="auto" w:fill="FFFFFF"/>
        <w:spacing w:after="0" w:line="252" w:lineRule="auto"/>
        <w:ind w:left="708"/>
        <w:jc w:val="both"/>
        <w:rPr>
          <w:rFonts w:ascii="Arial" w:hAnsi="Arial" w:cs="Arial"/>
          <w:i/>
          <w:iCs/>
          <w:color w:val="000000"/>
          <w:sz w:val="20"/>
          <w:szCs w:val="20"/>
          <w:lang w:eastAsia="es-CO"/>
        </w:rPr>
      </w:pPr>
      <w:r w:rsidRPr="00924DF2">
        <w:rPr>
          <w:rFonts w:ascii="Arial" w:hAnsi="Arial" w:cs="Arial"/>
          <w:i/>
          <w:iCs/>
          <w:color w:val="000000"/>
          <w:sz w:val="20"/>
          <w:szCs w:val="20"/>
          <w:lang w:val="es-ES_tradnl" w:eastAsia="es-CO"/>
        </w:rPr>
        <w:t>12.1</w:t>
      </w:r>
      <w:r w:rsidRPr="00924DF2">
        <w:rPr>
          <w:rFonts w:ascii="Arial" w:hAnsi="Arial" w:cs="Arial"/>
          <w:i/>
          <w:iCs/>
          <w:color w:val="000000"/>
          <w:sz w:val="20"/>
          <w:szCs w:val="20"/>
          <w:lang w:eastAsia="es-CO"/>
        </w:rPr>
        <w:t> </w:t>
      </w:r>
      <w:r w:rsidRPr="00924DF2">
        <w:rPr>
          <w:rFonts w:ascii="Arial" w:hAnsi="Arial" w:cs="Arial"/>
          <w:i/>
          <w:iCs/>
          <w:color w:val="000000"/>
          <w:sz w:val="20"/>
          <w:szCs w:val="20"/>
          <w:lang w:val="es-ES_tradnl" w:eastAsia="es-CO"/>
        </w:rPr>
        <w:t xml:space="preserve">A. La obra requiere la expedición de licencia de construcción en cualquiera de sus modalidades y/o licencia de intervención y ocupación del espacio público, así como los </w:t>
      </w:r>
      <w:r w:rsidRPr="00924DF2">
        <w:rPr>
          <w:rFonts w:ascii="Arial" w:hAnsi="Arial" w:cs="Arial"/>
          <w:i/>
          <w:iCs/>
          <w:color w:val="000000"/>
          <w:sz w:val="20"/>
          <w:szCs w:val="20"/>
          <w:lang w:val="es-ES_tradnl" w:eastAsia="es-CO"/>
        </w:rPr>
        <w:t>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w:t>
      </w:r>
      <w:r w:rsidR="008C123C">
        <w:rPr>
          <w:rFonts w:ascii="Arial" w:hAnsi="Arial" w:cs="Arial"/>
          <w:i/>
          <w:iCs/>
          <w:color w:val="000000"/>
          <w:sz w:val="20"/>
          <w:szCs w:val="20"/>
          <w:vertAlign w:val="superscript"/>
          <w:lang w:val="es-ES_tradnl" w:eastAsia="es-CO"/>
        </w:rPr>
        <w:t>2</w:t>
      </w:r>
      <w:r w:rsidRPr="00924DF2">
        <w:rPr>
          <w:rFonts w:ascii="Arial" w:hAnsi="Arial" w:cs="Arial"/>
          <w:i/>
          <w:iCs/>
          <w:color w:val="000000"/>
          <w:sz w:val="20"/>
          <w:szCs w:val="20"/>
          <w:lang w:val="es-ES_tradnl" w:eastAsia="es-CO"/>
        </w:rPr>
        <w:t>. </w:t>
      </w:r>
      <w:r w:rsidRPr="00924DF2">
        <w:rPr>
          <w:rFonts w:ascii="Arial" w:hAnsi="Arial" w:cs="Arial"/>
          <w:b/>
          <w:bCs/>
          <w:i/>
          <w:iCs/>
          <w:color w:val="000000"/>
          <w:sz w:val="20"/>
          <w:szCs w:val="20"/>
          <w:lang w:val="es-ES_tradnl" w:eastAsia="es-CO"/>
        </w:rPr>
        <w:t xml:space="preserve"> </w:t>
      </w:r>
      <w:r w:rsidRPr="00924DF2" w:rsidR="005B2398">
        <w:rPr>
          <w:rFonts w:ascii="Arial" w:hAnsi="Arial" w:cs="Arial"/>
          <w:i/>
          <w:iCs/>
          <w:color w:val="000000"/>
          <w:sz w:val="20"/>
          <w:szCs w:val="20"/>
          <w:lang w:eastAsia="es-CO"/>
        </w:rPr>
        <w:t>(…)”.</w:t>
      </w:r>
    </w:p>
    <w:p w:rsidR="00F60CD8" w:rsidRPr="00924DF2" w:rsidP="00F60CD8" w14:paraId="02AB0FD2" w14:textId="77777777">
      <w:pPr>
        <w:shd w:val="clear" w:color="auto" w:fill="FFFFFF"/>
        <w:spacing w:after="0" w:line="252" w:lineRule="auto"/>
        <w:jc w:val="both"/>
        <w:rPr>
          <w:rFonts w:ascii="Arial" w:hAnsi="Arial" w:cs="Arial"/>
          <w:i/>
          <w:iCs/>
          <w:color w:val="000000"/>
          <w:sz w:val="20"/>
          <w:szCs w:val="20"/>
          <w:lang w:eastAsia="es-CO"/>
        </w:rPr>
      </w:pPr>
    </w:p>
    <w:p w:rsidR="00924DF2" w:rsidRPr="00924DF2" w:rsidP="00924DF2" w14:paraId="02AB0FD3" w14:textId="77777777">
      <w:pPr>
        <w:spacing w:after="0" w:line="276" w:lineRule="auto"/>
        <w:jc w:val="both"/>
        <w:rPr>
          <w:rFonts w:ascii="Arial" w:hAnsi="Arial" w:cs="Arial"/>
          <w:sz w:val="20"/>
          <w:szCs w:val="20"/>
        </w:rPr>
      </w:pPr>
      <w:r w:rsidRPr="00924DF2">
        <w:rPr>
          <w:rFonts w:ascii="Arial" w:hAnsi="Arial" w:cs="Arial"/>
          <w:sz w:val="20"/>
          <w:szCs w:val="20"/>
        </w:rPr>
        <w:t xml:space="preserve">En ese sentido, con relación de la obligación </w:t>
      </w:r>
      <w:r w:rsidRPr="00924DF2">
        <w:rPr>
          <w:rFonts w:ascii="Arial" w:hAnsi="Arial" w:cs="Arial"/>
          <w:b/>
          <w:sz w:val="20"/>
          <w:szCs w:val="20"/>
        </w:rPr>
        <w:t>2</w:t>
      </w:r>
      <w:r w:rsidRPr="00924DF2">
        <w:rPr>
          <w:rFonts w:ascii="Arial" w:hAnsi="Arial" w:cs="Arial"/>
          <w:sz w:val="20"/>
          <w:szCs w:val="20"/>
        </w:rPr>
        <w:t xml:space="preserve">, sobre el Programa de Manejo Ambiental de RCD, se procedió a realizar la evaluación del documento cargado en el aplicativo web, con base en los lineamientos que se indican en el </w:t>
      </w:r>
      <w:r w:rsidRPr="00924DF2">
        <w:rPr>
          <w:rFonts w:ascii="Arial" w:hAnsi="Arial" w:cs="Arial"/>
          <w:i/>
          <w:sz w:val="20"/>
          <w:szCs w:val="20"/>
        </w:rPr>
        <w:t>“Anexo 10. Contenido mínimo del programa de manejo ambiental de RCD para los grandes y pequeños generadores de RCD que requieren alguna licencia urbanística”,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xml:space="preserve"> del Decreto Distrital 507 de 2023) </w:t>
      </w:r>
      <w:r w:rsidRPr="00924DF2">
        <w:rPr>
          <w:rFonts w:ascii="Arial" w:hAnsi="Arial" w:cs="Arial"/>
          <w:sz w:val="20"/>
          <w:szCs w:val="20"/>
        </w:rPr>
        <w:t>encontrando la siguiente información:</w:t>
      </w:r>
    </w:p>
    <w:p w:rsidR="00924DF2" w:rsidRPr="00924DF2" w:rsidP="00924DF2" w14:paraId="02AB0FD4" w14:textId="77777777">
      <w:pPr>
        <w:spacing w:after="0" w:line="240" w:lineRule="auto"/>
        <w:jc w:val="both"/>
        <w:rPr>
          <w:rFonts w:ascii="Arial" w:hAnsi="Arial" w:cs="Arial"/>
          <w:sz w:val="20"/>
          <w:szCs w:val="20"/>
        </w:rPr>
      </w:pPr>
    </w:p>
    <w:p w:rsidR="00924DF2" w:rsidRPr="00924DF2" w:rsidP="00924DF2" w14:paraId="02AB0FD5" w14:textId="77777777">
      <w:pPr>
        <w:spacing w:after="0" w:line="252" w:lineRule="auto"/>
        <w:jc w:val="center"/>
        <w:rPr>
          <w:rFonts w:ascii="Arial" w:eastAsia="Arial" w:hAnsi="Arial" w:cs="Arial"/>
          <w:i/>
          <w:sz w:val="20"/>
          <w:szCs w:val="20"/>
          <w:lang w:eastAsia="es-CO"/>
        </w:rPr>
      </w:pPr>
      <w:r w:rsidRPr="00924DF2">
        <w:rPr>
          <w:rFonts w:ascii="Arial" w:eastAsia="Arial" w:hAnsi="Arial" w:cs="Arial"/>
          <w:b/>
          <w:i/>
          <w:sz w:val="20"/>
          <w:szCs w:val="20"/>
          <w:lang w:eastAsia="es-CO"/>
        </w:rPr>
        <w:t>Tabla No 1</w:t>
      </w:r>
      <w:r w:rsidRPr="00924DF2">
        <w:rPr>
          <w:rFonts w:ascii="Arial" w:eastAsia="Arial" w:hAnsi="Arial" w:cs="Arial"/>
          <w:i/>
          <w:sz w:val="20"/>
          <w:szCs w:val="20"/>
          <w:lang w:eastAsia="es-CO"/>
        </w:rPr>
        <w:t>. Requerimientos mínimos del programa de manejo ambiental de RCD.</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02AB0FDA" w14:textId="77777777" w:rsidTr="00E82FBA">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30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6"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8"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Observaciones</w:t>
            </w:r>
          </w:p>
        </w:tc>
      </w:tr>
      <w:tr w14:paraId="02AB0FE0" w14:textId="77777777" w:rsidTr="00E82FBA">
        <w:tblPrEx>
          <w:tblW w:w="9255" w:type="dxa"/>
          <w:tblLayout w:type="fixed"/>
          <w:tblLook w:val="0400"/>
        </w:tblPrEx>
        <w:trPr>
          <w:trHeight w:val="288"/>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B" w14:textId="77777777">
            <w:pPr>
              <w:spacing w:after="0" w:line="240" w:lineRule="auto"/>
              <w:jc w:val="both"/>
              <w:rPr>
                <w:rFonts w:ascii="Arial" w:eastAsia="Times New Roman" w:hAnsi="Arial" w:cs="Arial"/>
                <w:b/>
                <w:color w:val="000000"/>
                <w:sz w:val="20"/>
                <w:szCs w:val="20"/>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C" w14:textId="77777777">
            <w:pPr>
              <w:spacing w:after="0" w:line="240" w:lineRule="auto"/>
              <w:jc w:val="both"/>
              <w:rPr>
                <w:rFonts w:ascii="Arial" w:eastAsia="Times New Roman" w:hAnsi="Arial" w:cs="Arial"/>
                <w:b/>
                <w:color w:val="000000"/>
                <w:sz w:val="20"/>
                <w:szCs w:val="20"/>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D"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24DF2" w:rsidP="00E82FBA" w14:paraId="02AB0FDE"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DF" w14:textId="77777777">
            <w:pPr>
              <w:spacing w:after="0" w:line="240" w:lineRule="auto"/>
              <w:jc w:val="both"/>
              <w:rPr>
                <w:rFonts w:ascii="Arial" w:eastAsia="Times New Roman" w:hAnsi="Arial" w:cs="Arial"/>
                <w:b/>
                <w:color w:val="000000"/>
                <w:sz w:val="20"/>
                <w:szCs w:val="20"/>
                <w:lang w:eastAsia="es-CO"/>
              </w:rPr>
            </w:pPr>
          </w:p>
        </w:tc>
      </w:tr>
      <w:tr w14:paraId="02AB0FE2" w14:textId="77777777" w:rsidTr="00E82FBA">
        <w:tblPrEx>
          <w:tblW w:w="9255" w:type="dxa"/>
          <w:tblLayout w:type="fixed"/>
          <w:tblLook w:val="0400"/>
        </w:tblPrEx>
        <w:trPr>
          <w:trHeight w:val="288"/>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24DF2" w:rsidP="00E82FBA" w14:paraId="02AB0FE1"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1. Datos generales de la obra</w:t>
            </w:r>
          </w:p>
        </w:tc>
      </w:tr>
      <w:tr w14:paraId="02AB0FE8" w14:textId="77777777" w:rsidTr="00E82FBA">
        <w:tblPrEx>
          <w:tblW w:w="9255" w:type="dxa"/>
          <w:tblLayout w:type="fixed"/>
          <w:tblLook w:val="0400"/>
        </w:tblPrEx>
        <w:trPr>
          <w:trHeight w:val="612"/>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3"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4"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5"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E6" w14:textId="77777777">
            <w:pPr>
              <w:spacing w:after="0" w:line="240" w:lineRule="auto"/>
              <w:jc w:val="both"/>
              <w:rPr>
                <w:rFonts w:ascii="Arial" w:eastAsia="Times New Roman" w:hAnsi="Arial" w:cs="Arial"/>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con la información en el apartado </w:t>
            </w:r>
            <w:r w:rsidRPr="00924DF2">
              <w:rPr>
                <w:rFonts w:ascii="Arial" w:eastAsia="Times New Roman" w:hAnsi="Arial" w:cs="Arial"/>
                <w:color w:val="000000"/>
                <w:sz w:val="20"/>
                <w:szCs w:val="20"/>
                <w:u w:val="single"/>
                <w:lang w:eastAsia="es-CO"/>
              </w:rPr>
              <w:t>“</w:t>
            </w:r>
            <w:r w:rsidRPr="00924DF2">
              <w:rPr>
                <w:rFonts w:ascii="Arial" w:eastAsia="Times New Roman" w:hAnsi="Arial" w:cs="Arial"/>
                <w:i/>
                <w:color w:val="000000"/>
                <w:sz w:val="20"/>
                <w:szCs w:val="20"/>
                <w:u w:val="single"/>
                <w:lang w:eastAsia="es-CO"/>
              </w:rPr>
              <w:t>Datos del generador”</w:t>
            </w:r>
            <w:r w:rsidRPr="00924DF2">
              <w:rPr>
                <w:rFonts w:ascii="Arial" w:eastAsia="Times New Roman" w:hAnsi="Arial" w:cs="Arial"/>
                <w:color w:val="000000"/>
                <w:sz w:val="20"/>
                <w:szCs w:val="20"/>
                <w:lang w:eastAsia="es-CO"/>
              </w:rPr>
              <w:t xml:space="preserve"> </w:t>
            </w:r>
          </w:p>
        </w:tc>
      </w:tr>
      <w:tr w14:paraId="02AB0FEE" w14:textId="77777777" w:rsidTr="00E82FBA">
        <w:tblPrEx>
          <w:tblW w:w="9255" w:type="dxa"/>
          <w:tblLayout w:type="fixed"/>
          <w:tblLook w:val="0400"/>
        </w:tblPrEx>
        <w:trPr>
          <w:trHeight w:val="45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9"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A" w14:textId="77777777">
            <w:pPr>
              <w:spacing w:after="0" w:line="240" w:lineRule="auto"/>
              <w:jc w:val="both"/>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B" w14:textId="5DACB204">
            <w:pPr>
              <w:spacing w:after="0" w:line="240" w:lineRule="auto"/>
              <w:jc w:val="center"/>
              <w:rPr>
                <w:rFonts w:ascii="Arial" w:eastAsia="Times New Roman" w:hAnsi="Arial" w:cs="Arial"/>
                <w:b/>
                <w:bCs/>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EC" w14:textId="77777777">
            <w:pPr>
              <w:spacing w:after="0" w:line="240" w:lineRule="auto"/>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2E61AC" w:rsidP="00E82FBA" w14:paraId="02AB0FED" w14:textId="3C5D9743">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el registro de la información en el apartado </w:t>
            </w:r>
            <w:r w:rsidRPr="002E61AC">
              <w:rPr>
                <w:rFonts w:ascii="Arial" w:eastAsia="Times New Roman" w:hAnsi="Arial" w:cs="Arial"/>
                <w:i/>
                <w:iCs/>
                <w:color w:val="000000"/>
                <w:sz w:val="20"/>
                <w:szCs w:val="20"/>
                <w:u w:val="single"/>
                <w:lang w:eastAsia="es-CO"/>
              </w:rPr>
              <w:t>“Datos de la obra</w:t>
            </w:r>
            <w:r w:rsidRPr="002E61AC" w:rsidR="002E61AC">
              <w:rPr>
                <w:rFonts w:ascii="Arial" w:eastAsia="Times New Roman" w:hAnsi="Arial" w:cs="Arial"/>
                <w:i/>
                <w:iCs/>
                <w:color w:val="000000"/>
                <w:sz w:val="20"/>
                <w:szCs w:val="20"/>
                <w:u w:val="single"/>
                <w:lang w:eastAsia="es-CO"/>
              </w:rPr>
              <w:t>”</w:t>
            </w:r>
            <w:r w:rsidR="002E61AC">
              <w:rPr>
                <w:rFonts w:ascii="Arial" w:eastAsia="Times New Roman" w:hAnsi="Arial" w:cs="Arial"/>
                <w:i/>
                <w:iCs/>
                <w:color w:val="000000"/>
                <w:sz w:val="20"/>
                <w:szCs w:val="20"/>
                <w:u w:val="single"/>
                <w:lang w:eastAsia="es-CO"/>
              </w:rPr>
              <w:t>,</w:t>
            </w:r>
            <w:r w:rsidR="002E61AC">
              <w:rPr>
                <w:rFonts w:ascii="Arial" w:eastAsia="Times New Roman" w:hAnsi="Arial" w:cs="Arial"/>
                <w:color w:val="000000"/>
                <w:sz w:val="20"/>
                <w:szCs w:val="20"/>
                <w:lang w:eastAsia="es-CO"/>
              </w:rPr>
              <w:t xml:space="preserve"> sin embargo, la dirección consignada en la tabla no corresponde con la dirección registrada en el aplicativo web de la SDA.</w:t>
            </w:r>
          </w:p>
        </w:tc>
      </w:tr>
      <w:tr w14:paraId="02AB0FF0" w14:textId="77777777" w:rsidTr="00E82FBA">
        <w:tblPrEx>
          <w:tblW w:w="9255" w:type="dxa"/>
          <w:tblLayout w:type="fixed"/>
          <w:tblLook w:val="0400"/>
        </w:tblPrEx>
        <w:trPr>
          <w:trHeight w:val="273"/>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EF" w14:textId="77777777">
            <w:pPr>
              <w:spacing w:after="0" w:line="240" w:lineRule="auto"/>
              <w:jc w:val="center"/>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2. Manejo de los RCD en obra</w:t>
            </w:r>
          </w:p>
        </w:tc>
      </w:tr>
      <w:tr w14:paraId="02AB0FF6"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1"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2"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3"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F4"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5"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prevención y reducción de RCD.</w:t>
            </w:r>
          </w:p>
        </w:tc>
      </w:tr>
      <w:tr w14:paraId="02AB0FFC"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7"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8"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9"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0FFA"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B"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que se realizarán actividades de demolición selectiva.</w:t>
            </w:r>
          </w:p>
        </w:tc>
      </w:tr>
      <w:tr w14:paraId="02AB1002"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D"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E"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0FFF" w14:textId="77777777">
            <w:pPr>
              <w:spacing w:after="0" w:line="240" w:lineRule="auto"/>
              <w:jc w:val="center"/>
              <w:rPr>
                <w:rFonts w:ascii="Arial" w:eastAsia="Times New Roman" w:hAnsi="Arial" w:cs="Arial"/>
                <w:color w:val="000000"/>
                <w:sz w:val="20"/>
                <w:szCs w:val="20"/>
                <w:lang w:eastAsia="es-CO"/>
              </w:rPr>
            </w:pPr>
            <w:r w:rsidRPr="00924DF2">
              <w:rPr>
                <w:rFonts w:ascii="Arial" w:eastAsia="Times New Roman" w:hAnsi="Arial" w:cs="Arial"/>
                <w:b/>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0"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1"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almacenamiento temporal de los RCD en obra.</w:t>
            </w:r>
          </w:p>
        </w:tc>
      </w:tr>
      <w:tr w14:paraId="02AB1008"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3"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4"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5"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6" w14:textId="77777777">
            <w:pPr>
              <w:spacing w:after="0" w:line="240" w:lineRule="auto"/>
              <w:jc w:val="center"/>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Se observa la descripción de las actividades de aprovechamiento de RCD en obra y fuera de esta.</w:t>
            </w:r>
          </w:p>
        </w:tc>
      </w:tr>
      <w:tr w14:paraId="02AB100E"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9"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B"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0C" w14:textId="77777777">
            <w:pPr>
              <w:spacing w:after="0" w:line="240" w:lineRule="auto"/>
              <w:jc w:val="center"/>
              <w:rPr>
                <w:rFonts w:ascii="Arial" w:eastAsia="Times New Roman" w:hAnsi="Arial" w:cs="Arial"/>
                <w:b/>
                <w:bCs/>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D"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la proyección de RCD a generar conforme al numeral 3 del </w:t>
            </w:r>
            <w:r w:rsidRPr="00924DF2">
              <w:rPr>
                <w:rFonts w:ascii="Arial" w:hAnsi="Arial" w:cs="Arial"/>
                <w:i/>
                <w:sz w:val="20"/>
                <w:szCs w:val="20"/>
              </w:rPr>
              <w:t>Anexo 10. (</w:t>
            </w:r>
            <w:r w:rsidRPr="00924DF2">
              <w:rPr>
                <w:rFonts w:ascii="Arial" w:hAnsi="Arial" w:cs="Arial"/>
                <w:iCs/>
                <w:sz w:val="20"/>
                <w:szCs w:val="20"/>
              </w:rPr>
              <w:t>antes </w:t>
            </w:r>
            <w:r>
              <w:fldChar w:fldCharType="begin"/>
            </w:r>
            <w:r>
              <w:instrText xml:space="preserve"> HYPERLINK "https://sisjur.bogotajuridica.gov.co/sisjur/adminverblobawa?tabla=T_NORMA_ARCHIVO&amp;p_NORMFIL_ID=87305&amp;f_NORMFIL_FILE=X&amp;inputfileext=NORMFIL_FILENAME" </w:instrText>
            </w:r>
            <w:r>
              <w:fldChar w:fldCharType="separate"/>
            </w:r>
            <w:r w:rsidRPr="00924DF2">
              <w:rPr>
                <w:rStyle w:val="Hyperlink"/>
                <w:rFonts w:ascii="Arial" w:hAnsi="Arial" w:cs="Arial"/>
                <w:iCs/>
                <w:color w:val="auto"/>
                <w:sz w:val="20"/>
                <w:szCs w:val="20"/>
                <w:lang w:val="es-ES"/>
              </w:rPr>
              <w:t>anexo 1</w:t>
            </w:r>
            <w:r>
              <w:fldChar w:fldCharType="end"/>
            </w:r>
            <w:r w:rsidRPr="00924DF2">
              <w:rPr>
                <w:rFonts w:ascii="Arial" w:hAnsi="Arial" w:cs="Arial"/>
                <w:iCs/>
                <w:sz w:val="20"/>
                <w:szCs w:val="20"/>
              </w:rPr>
              <w:t> del Artículo </w:t>
            </w:r>
            <w:r>
              <w:fldChar w:fldCharType="begin"/>
            </w:r>
            <w:r>
              <w:instrText xml:space="preserve"> HYPERLINK "https://www.alcaldiabogota.gov.co/sisjur/normas/Norma1.jsp?i=150476" \l "32" </w:instrText>
            </w:r>
            <w:r>
              <w:fldChar w:fldCharType="separate"/>
            </w:r>
            <w:r w:rsidRPr="00924DF2">
              <w:rPr>
                <w:rStyle w:val="Hyperlink"/>
                <w:rFonts w:ascii="Arial" w:hAnsi="Arial" w:cs="Arial"/>
                <w:iCs/>
                <w:color w:val="auto"/>
                <w:sz w:val="20"/>
                <w:szCs w:val="20"/>
              </w:rPr>
              <w:t>32</w:t>
            </w:r>
            <w:r>
              <w:fldChar w:fldCharType="end"/>
            </w:r>
            <w:r w:rsidRPr="00924DF2">
              <w:rPr>
                <w:rFonts w:ascii="Arial" w:hAnsi="Arial" w:cs="Arial"/>
                <w:iCs/>
                <w:sz w:val="20"/>
                <w:szCs w:val="20"/>
              </w:rPr>
              <w:t> del Decreto Distrital 507 de 2023)</w:t>
            </w:r>
          </w:p>
        </w:tc>
      </w:tr>
      <w:tr w14:paraId="02AB1014"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0F"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0"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1" w14:textId="77777777">
            <w:pPr>
              <w:spacing w:after="0" w:line="240" w:lineRule="auto"/>
              <w:jc w:val="center"/>
              <w:rPr>
                <w:rFonts w:ascii="Arial" w:eastAsia="Times New Roman" w:hAnsi="Arial" w:cs="Arial"/>
                <w:b/>
                <w:bCs/>
                <w:color w:val="000000"/>
                <w:sz w:val="20"/>
                <w:szCs w:val="20"/>
                <w:lang w:eastAsia="es-CO"/>
              </w:rPr>
            </w:pPr>
            <w:r w:rsidRPr="00924DF2">
              <w:rPr>
                <w:rFonts w:ascii="Arial" w:eastAsia="Times New Roman" w:hAnsi="Arial" w:cs="Arial"/>
                <w:b/>
                <w:bCs/>
                <w:color w:val="000000"/>
                <w:sz w:val="20"/>
                <w:szCs w:val="20"/>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2" w14:textId="77777777">
            <w:pPr>
              <w:spacing w:after="0" w:line="240" w:lineRule="auto"/>
              <w:rPr>
                <w:rFonts w:ascii="Arial" w:eastAsia="Times New Roman" w:hAnsi="Arial" w:cs="Arial"/>
                <w:b/>
                <w:color w:val="000000"/>
                <w:sz w:val="20"/>
                <w:szCs w:val="20"/>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3" w14:textId="0AECE199">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observa documento referente a la declaración del generador firmado por el </w:t>
            </w:r>
            <w:r w:rsidR="005B3526">
              <w:rPr>
                <w:rFonts w:ascii="Arial" w:eastAsia="Times New Roman" w:hAnsi="Arial" w:cs="Arial"/>
                <w:color w:val="000000"/>
                <w:sz w:val="20"/>
                <w:szCs w:val="20"/>
                <w:lang w:eastAsia="es-CO"/>
              </w:rPr>
              <w:t>señor</w:t>
            </w:r>
            <w:r w:rsidR="000C4C18">
              <w:rPr>
                <w:rFonts w:ascii="Arial" w:eastAsia="Times New Roman" w:hAnsi="Arial" w:cs="Arial"/>
                <w:color w:val="000000"/>
                <w:sz w:val="20"/>
                <w:szCs w:val="20"/>
                <w:lang w:eastAsia="es-CO"/>
              </w:rPr>
              <w:t xml:space="preserve"> </w:t>
            </w:r>
            <w:r w:rsidR="000438E1">
              <w:rPr>
                <w:rFonts w:ascii="Arial" w:eastAsia="Times New Roman" w:hAnsi="Arial" w:cs="Arial"/>
                <w:color w:val="000000"/>
                <w:sz w:val="20"/>
                <w:szCs w:val="20"/>
                <w:lang w:eastAsia="es-CO"/>
              </w:rPr>
              <w:t xml:space="preserve">ALEJANDRO </w:t>
            </w:r>
            <w:r w:rsidR="000438E1">
              <w:rPr>
                <w:rFonts w:ascii="Arial" w:eastAsia="Times New Roman" w:hAnsi="Arial" w:cs="Arial"/>
                <w:color w:val="000000"/>
                <w:sz w:val="20"/>
                <w:szCs w:val="20"/>
                <w:lang w:eastAsia="es-CO"/>
              </w:rPr>
              <w:t>ENRIQUE VELEZ SALCEDO</w:t>
            </w:r>
            <w:r w:rsidRPr="008456C2" w:rsidR="008456C2">
              <w:rPr>
                <w:rFonts w:ascii="Arial" w:eastAsia="Times New Roman" w:hAnsi="Arial" w:cs="Arial"/>
                <w:color w:val="000000"/>
                <w:sz w:val="20"/>
                <w:szCs w:val="20"/>
                <w:lang w:eastAsia="es-CO"/>
              </w:rPr>
              <w:t xml:space="preserve"> </w:t>
            </w:r>
            <w:r w:rsidRPr="00924DF2">
              <w:rPr>
                <w:rFonts w:ascii="Arial" w:eastAsia="Times New Roman" w:hAnsi="Arial" w:cs="Arial"/>
                <w:color w:val="000000"/>
                <w:sz w:val="20"/>
                <w:szCs w:val="20"/>
                <w:lang w:eastAsia="es-CO"/>
              </w:rPr>
              <w:t xml:space="preserve">representante legal </w:t>
            </w:r>
            <w:r w:rsidR="005B3526">
              <w:rPr>
                <w:rFonts w:ascii="Arial" w:eastAsia="Times New Roman" w:hAnsi="Arial" w:cs="Arial"/>
                <w:color w:val="000000"/>
                <w:sz w:val="20"/>
                <w:szCs w:val="20"/>
                <w:lang w:eastAsia="es-CO"/>
              </w:rPr>
              <w:t>de</w:t>
            </w:r>
            <w:r w:rsidR="000438E1">
              <w:rPr>
                <w:rFonts w:ascii="Arial" w:eastAsia="Times New Roman" w:hAnsi="Arial" w:cs="Arial"/>
                <w:color w:val="000000"/>
                <w:sz w:val="20"/>
                <w:szCs w:val="20"/>
                <w:lang w:eastAsia="es-CO"/>
              </w:rPr>
              <w:t xml:space="preserve"> TRIADA SAS.</w:t>
            </w:r>
          </w:p>
        </w:tc>
      </w:tr>
      <w:tr w14:paraId="02AB101B"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5" w14:textId="77777777">
            <w:pPr>
              <w:spacing w:after="0" w:line="240" w:lineRule="auto"/>
              <w:jc w:val="both"/>
              <w:rPr>
                <w:rFonts w:ascii="Arial" w:eastAsia="Times New Roman" w:hAnsi="Arial" w:cs="Arial"/>
                <w:b/>
                <w:color w:val="000000"/>
                <w:sz w:val="20"/>
                <w:szCs w:val="20"/>
                <w:lang w:eastAsia="es-CO"/>
              </w:rPr>
            </w:pPr>
          </w:p>
          <w:p w:rsidR="00924DF2" w:rsidRPr="00924DF2" w:rsidP="00E82FBA" w14:paraId="02AB1016" w14:textId="77777777">
            <w:pPr>
              <w:spacing w:after="0" w:line="240" w:lineRule="auto"/>
              <w:jc w:val="both"/>
              <w:rPr>
                <w:rFonts w:ascii="Arial" w:eastAsia="Times New Roman" w:hAnsi="Arial" w:cs="Arial"/>
                <w:b/>
                <w:color w:val="000000"/>
                <w:sz w:val="20"/>
                <w:szCs w:val="20"/>
                <w:lang w:eastAsia="es-CO"/>
              </w:rPr>
            </w:pPr>
            <w:r w:rsidRPr="00924DF2">
              <w:rPr>
                <w:rFonts w:ascii="Arial" w:eastAsia="Times New Roman" w:hAnsi="Arial" w:cs="Arial"/>
                <w:b/>
                <w:color w:val="000000"/>
                <w:sz w:val="20"/>
                <w:szCs w:val="20"/>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7"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24DF2" w:rsidP="00E82FBA" w14:paraId="02AB1018" w14:textId="77777777">
            <w:pPr>
              <w:spacing w:after="0" w:line="240" w:lineRule="auto"/>
              <w:jc w:val="both"/>
              <w:rPr>
                <w:rFonts w:ascii="Arial" w:eastAsia="Times New Roman" w:hAnsi="Arial" w:cs="Arial"/>
                <w:b/>
                <w:color w:val="000000"/>
                <w:sz w:val="20"/>
                <w:szCs w:val="20"/>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9"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1A" w14:textId="77777777">
            <w:pPr>
              <w:spacing w:after="0" w:line="240" w:lineRule="auto"/>
              <w:jc w:val="both"/>
              <w:rPr>
                <w:rFonts w:ascii="Arial" w:eastAsia="Times New Roman" w:hAnsi="Arial" w:cs="Arial"/>
                <w:color w:val="000000"/>
                <w:sz w:val="20"/>
                <w:szCs w:val="20"/>
                <w:lang w:eastAsia="es-CO"/>
              </w:rPr>
            </w:pPr>
            <w:r w:rsidRPr="00924DF2">
              <w:rPr>
                <w:rFonts w:ascii="Arial" w:eastAsia="Times New Roman" w:hAnsi="Arial" w:cs="Arial"/>
                <w:color w:val="000000"/>
                <w:sz w:val="20"/>
                <w:szCs w:val="20"/>
                <w:lang w:eastAsia="es-CO"/>
              </w:rPr>
              <w:t xml:space="preserve">Se recuerda </w:t>
            </w:r>
            <w:r w:rsidRPr="00924DF2">
              <w:rPr>
                <w:rFonts w:ascii="Arial" w:eastAsia="Times New Roman" w:hAnsi="Arial" w:cs="Arial"/>
                <w:color w:val="000000"/>
                <w:sz w:val="20"/>
                <w:szCs w:val="20"/>
                <w:u w:val="single"/>
                <w:lang w:eastAsia="es-CO"/>
              </w:rPr>
              <w:t>que mensualmente deberán remitir el reporte de implementación del Programa de Manejo Ambiental de RCD a la Autoridad Ambiental competente conforme a</w:t>
            </w:r>
            <w:r w:rsidRPr="00924DF2">
              <w:rPr>
                <w:rFonts w:ascii="Arial" w:eastAsia="Times New Roman" w:hAnsi="Arial" w:cs="Arial"/>
                <w:b/>
                <w:color w:val="000000"/>
                <w:sz w:val="20"/>
                <w:szCs w:val="20"/>
                <w:u w:val="single"/>
                <w:lang w:eastAsia="es-CO"/>
              </w:rPr>
              <w:t xml:space="preserve"> </w:t>
            </w:r>
            <w:r w:rsidRPr="00924DF2">
              <w:rPr>
                <w:rFonts w:ascii="Arial" w:eastAsia="Times New Roman" w:hAnsi="Arial" w:cs="Arial"/>
                <w:color w:val="000000"/>
                <w:sz w:val="20"/>
                <w:szCs w:val="20"/>
                <w:u w:val="single"/>
                <w:lang w:eastAsia="es-CO"/>
              </w:rPr>
              <w:t xml:space="preserve">los requisitos exigidos por el Decreto 507 del 2023 </w:t>
            </w:r>
            <w:r w:rsidRPr="00924DF2">
              <w:rPr>
                <w:rFonts w:ascii="Arial" w:eastAsia="Times New Roman" w:hAnsi="Arial" w:cs="Arial"/>
                <w:b/>
                <w:color w:val="000000"/>
                <w:sz w:val="20"/>
                <w:szCs w:val="20"/>
                <w:lang w:eastAsia="es-CO"/>
              </w:rPr>
              <w:t>Este documento y los avances mensuales deberán ser firmados por el representante legal para su validez.</w:t>
            </w:r>
          </w:p>
        </w:tc>
      </w:tr>
    </w:tbl>
    <w:p w:rsidR="00924DF2" w:rsidRPr="00924DF2" w:rsidP="00924DF2" w14:paraId="02AB101C" w14:textId="77777777">
      <w:pPr>
        <w:spacing w:after="0" w:line="252" w:lineRule="auto"/>
        <w:jc w:val="both"/>
        <w:rPr>
          <w:rFonts w:ascii="Arial" w:hAnsi="Arial" w:cs="Arial"/>
          <w:sz w:val="20"/>
          <w:szCs w:val="20"/>
        </w:rPr>
      </w:pPr>
    </w:p>
    <w:p w:rsidR="00924DF2" w:rsidRPr="00924DF2" w:rsidP="00924DF2" w14:paraId="02AB101D" w14:textId="30C3790A">
      <w:pPr>
        <w:spacing w:after="0" w:line="276" w:lineRule="auto"/>
        <w:jc w:val="both"/>
        <w:rPr>
          <w:rFonts w:ascii="Arial" w:hAnsi="Arial" w:cs="Arial"/>
          <w:sz w:val="20"/>
          <w:szCs w:val="20"/>
        </w:rPr>
      </w:pPr>
      <w:r w:rsidRPr="00924DF2">
        <w:rPr>
          <w:rFonts w:ascii="Arial" w:hAnsi="Arial" w:cs="Arial"/>
          <w:sz w:val="20"/>
          <w:szCs w:val="20"/>
        </w:rPr>
        <w:t>De acuerdo con la revisión realizada al documento, se precisa que el Programa de Manejo Ambiental de Residuos de Construcción y Demolición presentado para el proyecto constructivo,</w:t>
      </w:r>
      <w:r w:rsidRPr="00924DF2">
        <w:rPr>
          <w:rFonts w:ascii="Arial" w:hAnsi="Arial" w:cs="Arial"/>
          <w:i/>
          <w:iCs/>
          <w:sz w:val="20"/>
          <w:szCs w:val="20"/>
        </w:rPr>
        <w:t xml:space="preserve"> </w:t>
      </w:r>
      <w:r w:rsidR="00F931FB">
        <w:rPr>
          <w:rFonts w:ascii="Arial" w:hAnsi="Arial" w:cs="Arial"/>
          <w:b/>
          <w:sz w:val="20"/>
          <w:szCs w:val="20"/>
          <w:u w:val="single"/>
        </w:rPr>
        <w:t>no cuenta</w:t>
      </w:r>
      <w:r w:rsidRPr="005C785F" w:rsidR="00F931FB">
        <w:rPr>
          <w:rFonts w:ascii="Arial" w:hAnsi="Arial" w:cs="Arial"/>
          <w:b/>
          <w:sz w:val="20"/>
          <w:szCs w:val="20"/>
          <w:u w:val="single"/>
        </w:rPr>
        <w:t xml:space="preserve"> con</w:t>
      </w:r>
      <w:r w:rsidR="00F931FB">
        <w:rPr>
          <w:rFonts w:ascii="Arial" w:hAnsi="Arial" w:cs="Arial"/>
          <w:b/>
          <w:sz w:val="20"/>
          <w:szCs w:val="20"/>
          <w:u w:val="single"/>
        </w:rPr>
        <w:t xml:space="preserve"> la totalidad de</w:t>
      </w:r>
      <w:r w:rsidRPr="005C785F" w:rsidR="00F931FB">
        <w:rPr>
          <w:rFonts w:ascii="Arial" w:hAnsi="Arial" w:cs="Arial"/>
          <w:b/>
          <w:sz w:val="20"/>
          <w:szCs w:val="20"/>
          <w:u w:val="single"/>
        </w:rPr>
        <w:t xml:space="preserve"> los lineamientos técnicos mínimos exigidos por la normativa previamente citada</w:t>
      </w:r>
      <w:r w:rsidR="00F931FB">
        <w:rPr>
          <w:rFonts w:ascii="Arial" w:hAnsi="Arial" w:cs="Arial"/>
          <w:b/>
          <w:sz w:val="20"/>
          <w:szCs w:val="20"/>
          <w:u w:val="single"/>
        </w:rPr>
        <w:t>,</w:t>
      </w:r>
      <w:r w:rsidR="00F931FB">
        <w:rPr>
          <w:rFonts w:ascii="Arial" w:hAnsi="Arial" w:cs="Arial"/>
          <w:bCs/>
          <w:sz w:val="20"/>
          <w:szCs w:val="20"/>
        </w:rPr>
        <w:t xml:space="preserve"> puesto que </w:t>
      </w:r>
      <w:r w:rsidR="00F931FB">
        <w:rPr>
          <w:rFonts w:ascii="Arial" w:hAnsi="Arial" w:cs="Arial"/>
          <w:bCs/>
          <w:sz w:val="20"/>
          <w:szCs w:val="20"/>
        </w:rPr>
        <w:t xml:space="preserve">la dirección del proyecto no es clara. </w:t>
      </w:r>
      <w:r w:rsidR="004B06AD">
        <w:rPr>
          <w:rFonts w:ascii="Arial" w:hAnsi="Arial" w:cs="Arial"/>
          <w:bCs/>
          <w:sz w:val="20"/>
          <w:szCs w:val="20"/>
        </w:rPr>
        <w:t>Por lo anterior, se requiere subsanar dichas observaciones y cargar nuevamente el documento para su posterior validación.</w:t>
      </w:r>
    </w:p>
    <w:p w:rsidR="00924DF2" w:rsidRPr="00924DF2" w:rsidP="00924DF2" w14:paraId="02AB101E" w14:textId="77777777">
      <w:pPr>
        <w:spacing w:after="0" w:line="276" w:lineRule="auto"/>
        <w:jc w:val="both"/>
        <w:rPr>
          <w:rFonts w:ascii="Arial" w:hAnsi="Arial" w:cs="Arial"/>
          <w:sz w:val="20"/>
          <w:szCs w:val="20"/>
        </w:rPr>
      </w:pPr>
    </w:p>
    <w:p w:rsidR="00924DF2" w:rsidRPr="00924DF2" w:rsidP="00924DF2" w14:paraId="02AB101F" w14:textId="77777777">
      <w:pPr>
        <w:tabs>
          <w:tab w:val="left" w:pos="2552"/>
        </w:tabs>
        <w:spacing w:line="276" w:lineRule="auto"/>
        <w:jc w:val="both"/>
        <w:rPr>
          <w:rFonts w:ascii="Arial" w:eastAsia="Arial" w:hAnsi="Arial" w:cs="Arial"/>
          <w:bCs/>
          <w:sz w:val="20"/>
          <w:szCs w:val="20"/>
          <w:lang w:val="es-ES"/>
        </w:rPr>
      </w:pPr>
      <w:r w:rsidRPr="00924DF2">
        <w:rPr>
          <w:rFonts w:ascii="Arial" w:hAnsi="Arial" w:cs="Arial"/>
          <w:bCs/>
          <w:sz w:val="20"/>
          <w:szCs w:val="20"/>
        </w:rPr>
        <w:t xml:space="preserve">Por otra parte, en atención a lo establecido en los numerales 5 y 12 del citado artículo 246° del Decreto 646 de 2025, </w:t>
      </w:r>
      <w:r w:rsidRPr="00924DF2">
        <w:rPr>
          <w:rFonts w:ascii="Arial" w:eastAsia="Arial" w:hAnsi="Arial" w:cs="Arial"/>
          <w:bCs/>
          <w:sz w:val="20"/>
          <w:szCs w:val="20"/>
          <w:lang w:val="es-ES"/>
        </w:rPr>
        <w:t xml:space="preserve">se recuerda que el reporte mensual de la gestión efectuada sobre los residuos generados en el desarrollo de la obra se debe realizar teniendo en cuenta las siguientes precisiones: </w:t>
      </w:r>
    </w:p>
    <w:p w:rsidR="00924DF2" w:rsidRPr="00924DF2" w:rsidP="00924DF2" w14:paraId="02AB1020"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Disposición final:</w:t>
      </w:r>
      <w:r w:rsidRPr="00924DF2">
        <w:rPr>
          <w:rFonts w:ascii="Arial" w:eastAsia="Arial" w:hAnsi="Arial" w:cs="Arial"/>
          <w:bCs/>
          <w:sz w:val="20"/>
          <w:szCs w:val="20"/>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w:t>
      </w:r>
    </w:p>
    <w:p w:rsidR="00924DF2" w:rsidRPr="00924DF2" w:rsidP="00924DF2" w14:paraId="02AB1021" w14:textId="77777777">
      <w:pPr>
        <w:tabs>
          <w:tab w:val="left" w:pos="2552"/>
        </w:tabs>
        <w:spacing w:after="0" w:line="276" w:lineRule="auto"/>
        <w:ind w:left="709"/>
        <w:jc w:val="both"/>
        <w:rPr>
          <w:rFonts w:ascii="Arial" w:eastAsia="Arial" w:hAnsi="Arial" w:cs="Arial"/>
          <w:bCs/>
          <w:sz w:val="20"/>
          <w:szCs w:val="20"/>
        </w:rPr>
      </w:pPr>
    </w:p>
    <w:p w:rsidR="00924DF2" w:rsidRPr="00924DF2" w:rsidP="00924DF2" w14:paraId="02AB1022" w14:textId="77777777">
      <w:pPr>
        <w:numPr>
          <w:ilvl w:val="0"/>
          <w:numId w:val="2"/>
        </w:numPr>
        <w:tabs>
          <w:tab w:val="left" w:pos="2552"/>
        </w:tabs>
        <w:spacing w:after="0" w:line="276" w:lineRule="auto"/>
        <w:ind w:left="709" w:hanging="425"/>
        <w:jc w:val="both"/>
        <w:rPr>
          <w:rFonts w:ascii="Arial" w:eastAsia="Arial" w:hAnsi="Arial" w:cs="Arial"/>
          <w:bCs/>
          <w:sz w:val="20"/>
          <w:szCs w:val="20"/>
        </w:rPr>
      </w:pPr>
      <w:r w:rsidRPr="00924DF2">
        <w:rPr>
          <w:rFonts w:ascii="Arial" w:eastAsia="Arial" w:hAnsi="Arial" w:cs="Arial"/>
          <w:b/>
          <w:bCs/>
          <w:sz w:val="20"/>
          <w:szCs w:val="20"/>
        </w:rPr>
        <w:t>Aprovechamiento:</w:t>
      </w:r>
      <w:r w:rsidRPr="00924DF2">
        <w:rPr>
          <w:rFonts w:ascii="Arial" w:eastAsia="Arial" w:hAnsi="Arial" w:cs="Arial"/>
          <w:bCs/>
          <w:sz w:val="20"/>
          <w:szCs w:val="20"/>
        </w:rPr>
        <w:t xml:space="preserve"> En caso de realizar aprovechamiento </w:t>
      </w:r>
      <w:r w:rsidRPr="00924DF2">
        <w:rPr>
          <w:rFonts w:ascii="Arial" w:eastAsia="Arial" w:hAnsi="Arial" w:cs="Arial"/>
          <w:bCs/>
          <w:sz w:val="20"/>
          <w:szCs w:val="20"/>
        </w:rPr>
        <w:t>insitu</w:t>
      </w:r>
      <w:r w:rsidRPr="00924DF2">
        <w:rPr>
          <w:rFonts w:ascii="Arial" w:eastAsia="Arial" w:hAnsi="Arial" w:cs="Arial"/>
          <w:bCs/>
          <w:sz w:val="20"/>
          <w:szCs w:val="20"/>
        </w:rPr>
        <w:t xml:space="preserve"> de los RCD, se deberá adjuntar el anexo 5 (antes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3 (antes III del Decreto 507 de 2023), en ambos casos, acompañado del numeral 5 del anexo 10 (antes anexo 1 del Decreto 507 de 2023).</w:t>
      </w:r>
    </w:p>
    <w:p w:rsidR="00924DF2" w:rsidRPr="00924DF2" w:rsidP="00924DF2" w14:paraId="02AB1023" w14:textId="77777777">
      <w:pPr>
        <w:spacing w:after="0" w:line="276" w:lineRule="auto"/>
        <w:jc w:val="both"/>
        <w:rPr>
          <w:rFonts w:ascii="Arial" w:hAnsi="Arial" w:cs="Arial"/>
          <w:sz w:val="20"/>
          <w:szCs w:val="20"/>
        </w:rPr>
      </w:pPr>
    </w:p>
    <w:p w:rsidR="00924DF2" w:rsidRPr="00924DF2" w:rsidP="00924DF2" w14:paraId="02AB1024"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sz w:val="20"/>
          <w:szCs w:val="20"/>
          <w:lang w:val="es-CO"/>
        </w:rPr>
        <w:t xml:space="preserve">Ahora bien, </w:t>
      </w:r>
      <w:r w:rsidRPr="00924DF2">
        <w:rPr>
          <w:rFonts w:ascii="Arial" w:hAnsi="Arial" w:cs="Arial"/>
          <w:color w:val="000000"/>
          <w:sz w:val="20"/>
          <w:szCs w:val="20"/>
          <w:lang w:val="es-CO"/>
        </w:rPr>
        <w:t xml:space="preserve">es importante recordar que el cumplimiento del porcentaje de reutilización es </w:t>
      </w:r>
      <w:r w:rsidRPr="00924DF2">
        <w:rPr>
          <w:rFonts w:ascii="Arial" w:hAnsi="Arial" w:cs="Arial"/>
          <w:b/>
          <w:bCs/>
          <w:color w:val="000000"/>
          <w:sz w:val="20"/>
          <w:szCs w:val="20"/>
          <w:lang w:val="es-CO"/>
        </w:rPr>
        <w:t>obligatorio</w:t>
      </w:r>
      <w:r w:rsidRPr="00924DF2">
        <w:rPr>
          <w:rFonts w:ascii="Arial" w:hAnsi="Arial" w:cs="Arial"/>
          <w:i/>
          <w:iCs/>
          <w:color w:val="000000"/>
          <w:sz w:val="20"/>
          <w:szCs w:val="20"/>
          <w:lang w:val="es-CO"/>
        </w:rPr>
        <w:t>,</w:t>
      </w:r>
      <w:r w:rsidRPr="00924DF2">
        <w:rPr>
          <w:rFonts w:ascii="Arial" w:hAnsi="Arial" w:cs="Arial"/>
          <w:color w:val="000000"/>
          <w:sz w:val="20"/>
          <w:szCs w:val="20"/>
          <w:lang w:val="es-CO"/>
        </w:rPr>
        <w:t xml:space="preserve"> según lo establecido en el capítulo 6 y 7 del Decreto 646 de 2025 el cual compila el Decreto Distrital 507 de 2023, la cual en su artículo 258° indica:</w:t>
      </w:r>
    </w:p>
    <w:p w:rsidR="00924DF2" w:rsidRPr="00924DF2" w:rsidP="00924DF2" w14:paraId="02AB1025" w14:textId="77777777">
      <w:pPr>
        <w:spacing w:after="0" w:line="276" w:lineRule="auto"/>
        <w:jc w:val="both"/>
        <w:rPr>
          <w:rFonts w:ascii="Arial" w:eastAsia="Arial" w:hAnsi="Arial" w:cs="Arial"/>
          <w:color w:val="000000"/>
          <w:sz w:val="20"/>
          <w:szCs w:val="20"/>
        </w:rPr>
      </w:pPr>
    </w:p>
    <w:p w:rsidR="00924DF2" w:rsidRPr="00924DF2" w:rsidP="00924DF2" w14:paraId="02AB1026" w14:textId="77777777">
      <w:pPr>
        <w:spacing w:after="0" w:line="276" w:lineRule="auto"/>
        <w:ind w:left="708"/>
        <w:jc w:val="both"/>
        <w:rPr>
          <w:rFonts w:ascii="Arial" w:hAnsi="Arial" w:cs="Arial"/>
          <w:i/>
          <w:sz w:val="20"/>
          <w:szCs w:val="20"/>
          <w:shd w:val="clear" w:color="auto" w:fill="FFFFFF"/>
          <w:lang w:val="es-ES_tradnl"/>
        </w:rPr>
      </w:pPr>
      <w:r w:rsidRPr="00924DF2">
        <w:rPr>
          <w:rFonts w:ascii="Arial" w:eastAsia="Arial" w:hAnsi="Arial" w:cs="Arial"/>
          <w:b/>
          <w:i/>
          <w:sz w:val="20"/>
          <w:szCs w:val="20"/>
        </w:rPr>
        <w:t xml:space="preserve">“(…) </w:t>
      </w:r>
      <w:r w:rsidRPr="00924DF2">
        <w:rPr>
          <w:rFonts w:ascii="Arial" w:hAnsi="Arial" w:cs="Arial"/>
          <w:b/>
          <w:bCs/>
          <w:i/>
          <w:sz w:val="20"/>
          <w:szCs w:val="20"/>
          <w:shd w:val="clear" w:color="auto" w:fill="FFFFFF"/>
          <w:lang w:val="es-ES_tradnl"/>
        </w:rPr>
        <w:t>Artículo</w:t>
      </w:r>
      <w:r w:rsidRPr="00924DF2">
        <w:rPr>
          <w:rFonts w:ascii="Arial" w:hAnsi="Arial" w:cs="Arial"/>
          <w:i/>
          <w:sz w:val="20"/>
          <w:szCs w:val="20"/>
          <w:shd w:val="clear" w:color="auto" w:fill="FFFFFF"/>
        </w:rPr>
        <w:t> </w:t>
      </w:r>
      <w:r w:rsidRPr="00924DF2">
        <w:rPr>
          <w:rFonts w:ascii="Arial" w:hAnsi="Arial" w:cs="Arial"/>
          <w:b/>
          <w:bCs/>
          <w:i/>
          <w:sz w:val="20"/>
          <w:szCs w:val="20"/>
          <w:shd w:val="clear" w:color="auto" w:fill="FFFFFF"/>
          <w:lang w:val="es-ES_tradnl"/>
        </w:rPr>
        <w:t>258. Metas de aprovechamiento de RCD. </w:t>
      </w:r>
      <w:r w:rsidRPr="00924DF2">
        <w:rPr>
          <w:rFonts w:ascii="Arial" w:hAnsi="Arial" w:cs="Arial"/>
          <w:i/>
          <w:sz w:val="20"/>
          <w:szCs w:val="20"/>
          <w:shd w:val="clear" w:color="auto" w:fill="FFFFFF"/>
          <w:lang w:val="es-ES_tradnl"/>
        </w:rPr>
        <w:t>Los grandes generadores y pequeños generadores que requieran alguna de las licencias que se relacionan en los numerales </w:t>
      </w:r>
      <w:r>
        <w:fldChar w:fldCharType="begin"/>
      </w:r>
      <w:r>
        <w:instrText xml:space="preserve"> HYPERLINK "https://www.alcaldiabogota.gov.co/sisjur/normas/Norma1.jsp?i=191866" \l "217.n.12" </w:instrText>
      </w:r>
      <w:r>
        <w:fldChar w:fldCharType="separate"/>
      </w:r>
      <w:r w:rsidRPr="00924DF2">
        <w:rPr>
          <w:rStyle w:val="Hyperlink"/>
          <w:rFonts w:ascii="Arial" w:hAnsi="Arial" w:cs="Arial"/>
          <w:i/>
          <w:color w:val="auto"/>
          <w:sz w:val="20"/>
          <w:szCs w:val="20"/>
          <w:lang w:val="es-ES_tradnl"/>
        </w:rPr>
        <w:t>12</w:t>
      </w:r>
      <w:r>
        <w:fldChar w:fldCharType="end"/>
      </w:r>
      <w:r w:rsidRPr="00924DF2">
        <w:rPr>
          <w:rFonts w:ascii="Arial" w:hAnsi="Arial" w:cs="Arial"/>
          <w:i/>
          <w:sz w:val="20"/>
          <w:szCs w:val="20"/>
          <w:shd w:val="clear" w:color="auto" w:fill="FFFFFF"/>
          <w:lang w:val="es-ES_tradnl"/>
        </w:rPr>
        <w:t> y </w:t>
      </w:r>
      <w:r>
        <w:fldChar w:fldCharType="begin"/>
      </w:r>
      <w:r>
        <w:instrText xml:space="preserve"> HYPERLINK "https://www.alcaldiabogota.gov.co/sisjur/normas/Norma1.jsp?i=191866" \l "217.n.18" </w:instrText>
      </w:r>
      <w:r>
        <w:fldChar w:fldCharType="separate"/>
      </w:r>
      <w:r w:rsidRPr="00924DF2">
        <w:rPr>
          <w:rStyle w:val="Hyperlink"/>
          <w:rFonts w:ascii="Arial" w:hAnsi="Arial" w:cs="Arial"/>
          <w:i/>
          <w:color w:val="auto"/>
          <w:sz w:val="20"/>
          <w:szCs w:val="20"/>
          <w:lang w:val="es-ES_tradnl"/>
        </w:rPr>
        <w:t>18</w:t>
      </w:r>
      <w:r>
        <w:fldChar w:fldCharType="end"/>
      </w:r>
      <w:r w:rsidRPr="00924DF2">
        <w:rPr>
          <w:rFonts w:ascii="Arial" w:hAnsi="Arial" w:cs="Arial"/>
          <w:i/>
          <w:sz w:val="20"/>
          <w:szCs w:val="20"/>
          <w:shd w:val="clear" w:color="auto" w:fill="FFFFFF"/>
          <w:lang w:val="es-ES_tradnl"/>
        </w:rPr>
        <w:t> del artículo 217 del presente título, deberán promover el aprovechamiento efectivo de un porcentaje del peso total de los residuos de construcción y demolición (RCD) generados en la obra, según lo dispuesto en la siguiente Tabla:</w:t>
      </w:r>
    </w:p>
    <w:p w:rsidR="00924DF2" w:rsidRPr="00924DF2" w:rsidP="00924DF2" w14:paraId="02AB1027"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w:t>
      </w:r>
    </w:p>
    <w:tbl>
      <w:tblPr>
        <w:tblW w:w="0" w:type="auto"/>
        <w:jc w:val="center"/>
        <w:tblLook w:val="04A0"/>
      </w:tblPr>
      <w:tblGrid>
        <w:gridCol w:w="1039"/>
        <w:gridCol w:w="3251"/>
      </w:tblGrid>
      <w:tr w14:paraId="02AB102A" w14:textId="77777777" w:rsidTr="00E82FBA">
        <w:tblPrEx>
          <w:tblW w:w="0" w:type="auto"/>
          <w:jc w:val="center"/>
          <w:tblLook w:val="04A0"/>
        </w:tblPrEx>
        <w:trPr>
          <w:trHeight w:val="52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24DF2" w:rsidRPr="00924DF2" w:rsidP="00E82FBA" w14:paraId="02AB1028"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Meta (%)</w:t>
            </w:r>
          </w:p>
        </w:tc>
        <w:tc>
          <w:tcPr>
            <w:tcW w:w="0" w:type="auto"/>
            <w:tcBorders>
              <w:top w:val="single" w:sz="4" w:space="0" w:color="auto"/>
              <w:left w:val="nil"/>
              <w:bottom w:val="single" w:sz="4" w:space="0" w:color="auto"/>
              <w:right w:val="single" w:sz="4" w:space="0" w:color="auto"/>
            </w:tcBorders>
            <w:vAlign w:val="center"/>
            <w:hideMark/>
          </w:tcPr>
          <w:p w:rsidR="00924DF2" w:rsidRPr="00924DF2" w:rsidP="00E82FBA" w14:paraId="02AB1029" w14:textId="77777777">
            <w:pPr>
              <w:spacing w:after="0" w:line="21" w:lineRule="atLeast"/>
              <w:jc w:val="center"/>
              <w:rPr>
                <w:rFonts w:ascii="Arial" w:eastAsia="Times New Roman" w:hAnsi="Arial" w:cs="Arial"/>
                <w:b/>
                <w:bCs/>
                <w:color w:val="000000"/>
                <w:sz w:val="20"/>
                <w:szCs w:val="20"/>
              </w:rPr>
            </w:pPr>
            <w:r w:rsidRPr="00924DF2">
              <w:rPr>
                <w:rFonts w:ascii="Arial" w:eastAsia="Times New Roman" w:hAnsi="Arial" w:cs="Arial"/>
                <w:b/>
                <w:bCs/>
                <w:color w:val="000000"/>
                <w:sz w:val="20"/>
                <w:szCs w:val="20"/>
              </w:rPr>
              <w:t>Fecha de cumplimiento de meta</w:t>
            </w:r>
          </w:p>
        </w:tc>
      </w:tr>
      <w:tr w14:paraId="02AB102D"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2B"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25%</w:t>
            </w:r>
          </w:p>
        </w:tc>
        <w:tc>
          <w:tcPr>
            <w:tcW w:w="0" w:type="auto"/>
            <w:tcBorders>
              <w:top w:val="nil"/>
              <w:left w:val="nil"/>
              <w:bottom w:val="single" w:sz="4" w:space="0" w:color="auto"/>
              <w:right w:val="single" w:sz="4" w:space="0" w:color="auto"/>
            </w:tcBorders>
            <w:vAlign w:val="center"/>
            <w:hideMark/>
          </w:tcPr>
          <w:p w:rsidR="00924DF2" w:rsidRPr="00924DF2" w:rsidP="00E82FBA" w14:paraId="02AB102C"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2023</w:t>
            </w:r>
          </w:p>
        </w:tc>
      </w:tr>
      <w:tr w14:paraId="02AB1030"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2E"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30%</w:t>
            </w:r>
          </w:p>
        </w:tc>
        <w:tc>
          <w:tcPr>
            <w:tcW w:w="0" w:type="auto"/>
            <w:tcBorders>
              <w:top w:val="nil"/>
              <w:left w:val="nil"/>
              <w:bottom w:val="single" w:sz="4" w:space="0" w:color="auto"/>
              <w:right w:val="single" w:sz="4" w:space="0" w:color="auto"/>
            </w:tcBorders>
            <w:vAlign w:val="center"/>
            <w:hideMark/>
          </w:tcPr>
          <w:p w:rsidR="00924DF2" w:rsidRPr="00924DF2" w:rsidP="00E82FBA" w14:paraId="02AB102F"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2024</w:t>
            </w:r>
          </w:p>
        </w:tc>
      </w:tr>
      <w:tr w14:paraId="02AB1033"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1"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40%</w:t>
            </w:r>
          </w:p>
        </w:tc>
        <w:tc>
          <w:tcPr>
            <w:tcW w:w="0" w:type="auto"/>
            <w:tcBorders>
              <w:top w:val="nil"/>
              <w:left w:val="nil"/>
              <w:bottom w:val="single" w:sz="4" w:space="0" w:color="auto"/>
              <w:right w:val="single" w:sz="4" w:space="0" w:color="auto"/>
            </w:tcBorders>
            <w:vAlign w:val="center"/>
            <w:hideMark/>
          </w:tcPr>
          <w:p w:rsidR="00924DF2" w:rsidRPr="00924DF2" w:rsidP="00E82FBA" w14:paraId="02AB1032"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2025</w:t>
            </w:r>
          </w:p>
        </w:tc>
      </w:tr>
      <w:tr w14:paraId="02AB1036"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4"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50%</w:t>
            </w:r>
          </w:p>
        </w:tc>
        <w:tc>
          <w:tcPr>
            <w:tcW w:w="0" w:type="auto"/>
            <w:tcBorders>
              <w:top w:val="nil"/>
              <w:left w:val="nil"/>
              <w:bottom w:val="single" w:sz="4" w:space="0" w:color="auto"/>
              <w:right w:val="single" w:sz="4" w:space="0" w:color="auto"/>
            </w:tcBorders>
            <w:vAlign w:val="center"/>
            <w:hideMark/>
          </w:tcPr>
          <w:p w:rsidR="00924DF2" w:rsidRPr="00924DF2" w:rsidP="00E82FBA" w14:paraId="02AB1035"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2026</w:t>
            </w:r>
          </w:p>
        </w:tc>
      </w:tr>
      <w:tr w14:paraId="02AB1039"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7"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55%</w:t>
            </w:r>
          </w:p>
        </w:tc>
        <w:tc>
          <w:tcPr>
            <w:tcW w:w="0" w:type="auto"/>
            <w:tcBorders>
              <w:top w:val="nil"/>
              <w:left w:val="nil"/>
              <w:bottom w:val="single" w:sz="4" w:space="0" w:color="auto"/>
              <w:right w:val="single" w:sz="4" w:space="0" w:color="auto"/>
            </w:tcBorders>
            <w:vAlign w:val="center"/>
            <w:hideMark/>
          </w:tcPr>
          <w:p w:rsidR="00924DF2" w:rsidRPr="00924DF2" w:rsidP="00E82FBA" w14:paraId="02AB1038"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2027</w:t>
            </w:r>
          </w:p>
        </w:tc>
      </w:tr>
      <w:tr w14:paraId="02AB103C"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A"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60%</w:t>
            </w:r>
          </w:p>
        </w:tc>
        <w:tc>
          <w:tcPr>
            <w:tcW w:w="0" w:type="auto"/>
            <w:tcBorders>
              <w:top w:val="nil"/>
              <w:left w:val="nil"/>
              <w:bottom w:val="single" w:sz="4" w:space="0" w:color="auto"/>
              <w:right w:val="single" w:sz="4" w:space="0" w:color="auto"/>
            </w:tcBorders>
            <w:vAlign w:val="center"/>
            <w:hideMark/>
          </w:tcPr>
          <w:p w:rsidR="00924DF2" w:rsidRPr="00924DF2" w:rsidP="00E82FBA" w14:paraId="02AB103B"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2028</w:t>
            </w:r>
          </w:p>
        </w:tc>
      </w:tr>
      <w:tr w14:paraId="02AB103F"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3D"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70%</w:t>
            </w:r>
          </w:p>
        </w:tc>
        <w:tc>
          <w:tcPr>
            <w:tcW w:w="0" w:type="auto"/>
            <w:tcBorders>
              <w:top w:val="nil"/>
              <w:left w:val="nil"/>
              <w:bottom w:val="single" w:sz="4" w:space="0" w:color="auto"/>
              <w:right w:val="single" w:sz="4" w:space="0" w:color="auto"/>
            </w:tcBorders>
            <w:vAlign w:val="center"/>
            <w:hideMark/>
          </w:tcPr>
          <w:p w:rsidR="00924DF2" w:rsidRPr="00924DF2" w:rsidP="00E82FBA" w14:paraId="02AB103E"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2029</w:t>
            </w:r>
          </w:p>
        </w:tc>
      </w:tr>
      <w:tr w14:paraId="02AB1042" w14:textId="77777777" w:rsidTr="00E82FBA">
        <w:tblPrEx>
          <w:tblW w:w="0" w:type="auto"/>
          <w:jc w:val="center"/>
          <w:tblLook w:val="04A0"/>
        </w:tblPrEx>
        <w:trPr>
          <w:trHeight w:val="264"/>
          <w:jc w:val="center"/>
        </w:trPr>
        <w:tc>
          <w:tcPr>
            <w:tcW w:w="0" w:type="auto"/>
            <w:tcBorders>
              <w:top w:val="nil"/>
              <w:left w:val="single" w:sz="4" w:space="0" w:color="auto"/>
              <w:bottom w:val="single" w:sz="4" w:space="0" w:color="auto"/>
              <w:right w:val="single" w:sz="4" w:space="0" w:color="auto"/>
            </w:tcBorders>
            <w:vAlign w:val="center"/>
            <w:hideMark/>
          </w:tcPr>
          <w:p w:rsidR="00924DF2" w:rsidRPr="00924DF2" w:rsidP="00E82FBA" w14:paraId="02AB1040"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75%</w:t>
            </w:r>
          </w:p>
        </w:tc>
        <w:tc>
          <w:tcPr>
            <w:tcW w:w="0" w:type="auto"/>
            <w:tcBorders>
              <w:top w:val="nil"/>
              <w:left w:val="nil"/>
              <w:bottom w:val="single" w:sz="4" w:space="0" w:color="auto"/>
              <w:right w:val="single" w:sz="4" w:space="0" w:color="auto"/>
            </w:tcBorders>
            <w:vAlign w:val="center"/>
            <w:hideMark/>
          </w:tcPr>
          <w:p w:rsidR="00924DF2" w:rsidRPr="00924DF2" w:rsidP="00E82FBA" w14:paraId="02AB1041" w14:textId="77777777">
            <w:pPr>
              <w:spacing w:after="0" w:line="21" w:lineRule="atLeast"/>
              <w:jc w:val="center"/>
              <w:rPr>
                <w:rFonts w:ascii="Arial" w:eastAsia="Times New Roman" w:hAnsi="Arial" w:cs="Arial"/>
                <w:color w:val="000000"/>
                <w:sz w:val="20"/>
                <w:szCs w:val="20"/>
              </w:rPr>
            </w:pPr>
            <w:r w:rsidRPr="00924DF2">
              <w:rPr>
                <w:rFonts w:ascii="Arial" w:eastAsia="Times New Roman" w:hAnsi="Arial" w:cs="Arial"/>
                <w:color w:val="000000"/>
                <w:sz w:val="20"/>
                <w:szCs w:val="20"/>
              </w:rPr>
              <w:t>1° de enero de 2030</w:t>
            </w:r>
          </w:p>
        </w:tc>
      </w:tr>
    </w:tbl>
    <w:p w:rsidR="00924DF2" w:rsidRPr="00924DF2" w:rsidP="00924DF2" w14:paraId="02AB1043" w14:textId="77777777">
      <w:pPr>
        <w:spacing w:after="0" w:line="21" w:lineRule="atLeast"/>
        <w:ind w:left="708"/>
        <w:jc w:val="both"/>
        <w:rPr>
          <w:rFonts w:ascii="Arial" w:eastAsia="Arial" w:hAnsi="Arial" w:cs="Arial"/>
          <w:i/>
          <w:color w:val="000000"/>
          <w:sz w:val="20"/>
          <w:szCs w:val="20"/>
        </w:rPr>
      </w:pPr>
    </w:p>
    <w:p w:rsidR="00924DF2" w:rsidRPr="00924DF2" w:rsidP="00924DF2" w14:paraId="02AB1044" w14:textId="77777777">
      <w:pPr>
        <w:spacing w:after="0" w:line="276" w:lineRule="auto"/>
        <w:ind w:left="709"/>
        <w:jc w:val="both"/>
        <w:rPr>
          <w:rFonts w:ascii="Arial" w:eastAsia="Arial" w:hAnsi="Arial" w:cs="Arial"/>
          <w:i/>
          <w:color w:val="000000"/>
          <w:sz w:val="20"/>
          <w:szCs w:val="20"/>
        </w:rPr>
      </w:pPr>
      <w:r w:rsidRPr="00924DF2">
        <w:rPr>
          <w:rFonts w:ascii="Arial" w:eastAsia="Arial" w:hAnsi="Arial" w:cs="Arial"/>
          <w:i/>
          <w:color w:val="000000"/>
          <w:sz w:val="20"/>
          <w:szCs w:val="20"/>
          <w:u w:val="single"/>
        </w:rPr>
        <w:t xml:space="preserve">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 </w:t>
      </w:r>
      <w:r w:rsidRPr="00924DF2">
        <w:rPr>
          <w:rFonts w:ascii="Arial" w:eastAsia="Arial" w:hAnsi="Arial" w:cs="Arial"/>
          <w:i/>
          <w:color w:val="000000"/>
          <w:sz w:val="20"/>
          <w:szCs w:val="20"/>
        </w:rPr>
        <w:t>(…)”</w:t>
      </w:r>
    </w:p>
    <w:p w:rsidR="00924DF2" w:rsidRPr="00924DF2" w:rsidP="00924DF2" w14:paraId="02AB1045" w14:textId="77777777">
      <w:pPr>
        <w:spacing w:after="0" w:line="276" w:lineRule="auto"/>
        <w:jc w:val="both"/>
        <w:rPr>
          <w:rFonts w:ascii="Arial" w:eastAsia="Arial" w:hAnsi="Arial" w:cs="Arial"/>
          <w:i/>
          <w:color w:val="000000"/>
          <w:sz w:val="20"/>
          <w:szCs w:val="20"/>
        </w:rPr>
      </w:pPr>
    </w:p>
    <w:p w:rsidR="00924DF2" w:rsidRPr="00924DF2" w:rsidP="00924DF2" w14:paraId="02AB1046" w14:textId="77777777">
      <w:pPr>
        <w:pStyle w:val="NormalWeb"/>
        <w:spacing w:before="0" w:beforeAutospacing="0" w:after="0" w:afterAutospacing="0" w:line="276" w:lineRule="auto"/>
        <w:jc w:val="both"/>
        <w:rPr>
          <w:rFonts w:ascii="Arial" w:hAnsi="Arial" w:cs="Arial"/>
          <w:color w:val="000000"/>
          <w:sz w:val="20"/>
          <w:szCs w:val="20"/>
          <w:lang w:val="es-CO"/>
        </w:rPr>
      </w:pPr>
      <w:r w:rsidRPr="00924DF2">
        <w:rPr>
          <w:rFonts w:ascii="Arial" w:hAnsi="Arial" w:cs="Arial"/>
          <w:color w:val="000000"/>
          <w:sz w:val="20"/>
          <w:szCs w:val="20"/>
          <w:lang w:val="es-CO"/>
        </w:rPr>
        <w:t xml:space="preserve">A su vez, es importante precisar qué en concordancia con los lineamientos de economía circular en la construcción, el proyecto deberá dar cumplimiento con las </w:t>
      </w:r>
      <w:r w:rsidRPr="00924DF2">
        <w:rPr>
          <w:rFonts w:ascii="Arial" w:hAnsi="Arial" w:cs="Arial"/>
          <w:i/>
          <w:iCs/>
          <w:color w:val="000000"/>
          <w:sz w:val="20"/>
          <w:szCs w:val="20"/>
          <w:lang w:val="es-CO"/>
        </w:rPr>
        <w:t>“Metas para la circularidad en la construcción”</w:t>
      </w:r>
      <w:r w:rsidRPr="00924DF2">
        <w:rPr>
          <w:rFonts w:ascii="Arial" w:hAnsi="Arial" w:cs="Arial"/>
          <w:color w:val="000000"/>
          <w:sz w:val="20"/>
          <w:szCs w:val="20"/>
          <w:lang w:val="es-CO"/>
        </w:rPr>
        <w:t xml:space="preserve"> según lo establecido en el artículo 260°, que indica:</w:t>
      </w:r>
    </w:p>
    <w:p w:rsidR="00924DF2" w:rsidRPr="00924DF2" w:rsidP="00924DF2" w14:paraId="02AB1047" w14:textId="77777777">
      <w:pPr>
        <w:pStyle w:val="NormalWeb"/>
        <w:spacing w:before="0" w:beforeAutospacing="0" w:after="0" w:afterAutospacing="0" w:line="276" w:lineRule="auto"/>
        <w:jc w:val="both"/>
        <w:rPr>
          <w:rFonts w:ascii="Arial" w:hAnsi="Arial" w:cs="Arial"/>
          <w:sz w:val="20"/>
          <w:szCs w:val="20"/>
          <w:lang w:val="es-CO"/>
        </w:rPr>
      </w:pPr>
    </w:p>
    <w:p w:rsidR="00924DF2" w:rsidRPr="00924DF2" w:rsidP="005B3526" w14:paraId="02AB1048" w14:textId="77777777">
      <w:pPr>
        <w:spacing w:after="0" w:line="276" w:lineRule="auto"/>
        <w:ind w:left="708"/>
        <w:jc w:val="both"/>
        <w:rPr>
          <w:rFonts w:ascii="Arial" w:eastAsia="Arial" w:hAnsi="Arial" w:cs="Arial"/>
          <w:i/>
          <w:color w:val="000000"/>
          <w:sz w:val="20"/>
          <w:szCs w:val="20"/>
        </w:rPr>
      </w:pPr>
      <w:r w:rsidRPr="00924DF2">
        <w:rPr>
          <w:rFonts w:ascii="Arial" w:eastAsia="Arial" w:hAnsi="Arial" w:cs="Arial"/>
          <w:i/>
          <w:color w:val="000000"/>
          <w:sz w:val="20"/>
          <w:szCs w:val="20"/>
        </w:rPr>
        <w:t xml:space="preserve">“(…) </w:t>
      </w:r>
      <w:r w:rsidRPr="00924DF2">
        <w:rPr>
          <w:rFonts w:ascii="Arial" w:eastAsia="Arial" w:hAnsi="Arial" w:cs="Arial"/>
          <w:b/>
          <w:i/>
          <w:color w:val="000000"/>
          <w:sz w:val="20"/>
          <w:szCs w:val="20"/>
        </w:rPr>
        <w:t xml:space="preserve">Artículo 260. Metas para la circularidad en la construcción: </w:t>
      </w:r>
      <w:r w:rsidRPr="00924DF2">
        <w:rPr>
          <w:rFonts w:ascii="Arial" w:eastAsia="Arial" w:hAnsi="Arial" w:cs="Arial"/>
          <w:i/>
          <w:color w:val="000000"/>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 </w:t>
      </w:r>
    </w:p>
    <w:p w:rsidR="00924DF2" w:rsidRPr="00924DF2" w:rsidP="00924DF2" w14:paraId="02AB1049" w14:textId="77777777">
      <w:pPr>
        <w:pStyle w:val="ListParagraph"/>
        <w:spacing w:after="0" w:line="276" w:lineRule="auto"/>
        <w:ind w:left="1068"/>
        <w:jc w:val="both"/>
        <w:rPr>
          <w:rFonts w:ascii="Arial" w:eastAsia="Arial" w:hAnsi="Arial" w:cs="Arial"/>
          <w:i/>
          <w:color w:val="000000"/>
          <w:sz w:val="20"/>
          <w:szCs w:val="20"/>
          <w:highlight w:val="yellow"/>
          <w:lang w:val="es-CO"/>
        </w:rPr>
      </w:pPr>
    </w:p>
    <w:p w:rsidR="00416D48" w:rsidRPr="00416D48" w:rsidP="00416D48" w14:paraId="2266897E" w14:textId="77777777">
      <w:pPr>
        <w:pStyle w:val="ListParagraph"/>
        <w:numPr>
          <w:ilvl w:val="0"/>
          <w:numId w:val="3"/>
        </w:numPr>
        <w:jc w:val="both"/>
        <w:rPr>
          <w:rFonts w:ascii="Arial" w:eastAsia="Arial" w:hAnsi="Arial" w:cs="Arial"/>
          <w:i/>
          <w:color w:val="000000"/>
          <w:sz w:val="20"/>
          <w:szCs w:val="20"/>
        </w:rPr>
      </w:pPr>
      <w:r w:rsidRPr="00416D48">
        <w:rPr>
          <w:rFonts w:ascii="Arial" w:eastAsia="Arial" w:hAnsi="Arial" w:cs="Arial"/>
          <w:i/>
          <w:color w:val="000000"/>
          <w:sz w:val="20"/>
          <w:szCs w:val="20"/>
        </w:rPr>
        <w:t xml:space="preserve">En </w:t>
      </w:r>
      <w:r w:rsidRPr="00416D48">
        <w:rPr>
          <w:rFonts w:ascii="Arial" w:eastAsia="Arial" w:hAnsi="Arial" w:cs="Arial"/>
          <w:i/>
          <w:color w:val="000000"/>
          <w:sz w:val="20"/>
          <w:szCs w:val="20"/>
        </w:rPr>
        <w:t>edificaciones</w:t>
      </w:r>
      <w:r w:rsidRPr="00416D48">
        <w:rPr>
          <w:rFonts w:ascii="Arial" w:eastAsia="Arial" w:hAnsi="Arial" w:cs="Arial"/>
          <w:i/>
          <w:color w:val="000000"/>
          <w:sz w:val="20"/>
          <w:szCs w:val="20"/>
        </w:rPr>
        <w:t xml:space="preserve"> o </w:t>
      </w:r>
      <w:r w:rsidRPr="00416D48">
        <w:rPr>
          <w:rFonts w:ascii="Arial" w:eastAsia="Arial" w:hAnsi="Arial" w:cs="Arial"/>
          <w:i/>
          <w:color w:val="000000"/>
          <w:sz w:val="20"/>
          <w:szCs w:val="20"/>
        </w:rPr>
        <w:t>construcciones</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públicas</w:t>
      </w:r>
      <w:r w:rsidRPr="00416D48">
        <w:rPr>
          <w:rFonts w:ascii="Arial" w:eastAsia="Arial" w:hAnsi="Arial" w:cs="Arial"/>
          <w:i/>
          <w:color w:val="000000"/>
          <w:sz w:val="20"/>
          <w:szCs w:val="20"/>
        </w:rPr>
        <w:t xml:space="preserve"> o </w:t>
      </w:r>
      <w:r w:rsidRPr="00416D48">
        <w:rPr>
          <w:rFonts w:ascii="Arial" w:eastAsia="Arial" w:hAnsi="Arial" w:cs="Arial"/>
          <w:i/>
          <w:color w:val="000000"/>
          <w:sz w:val="20"/>
          <w:szCs w:val="20"/>
        </w:rPr>
        <w:t>privadas</w:t>
      </w:r>
      <w:r w:rsidRPr="00416D48">
        <w:rPr>
          <w:rFonts w:ascii="Arial" w:eastAsia="Arial" w:hAnsi="Arial" w:cs="Arial"/>
          <w:i/>
          <w:color w:val="000000"/>
          <w:sz w:val="20"/>
          <w:szCs w:val="20"/>
        </w:rPr>
        <w:t xml:space="preserve"> de </w:t>
      </w:r>
      <w:r w:rsidRPr="00416D48">
        <w:rPr>
          <w:rFonts w:ascii="Arial" w:eastAsia="Arial" w:hAnsi="Arial" w:cs="Arial"/>
          <w:i/>
          <w:color w:val="000000"/>
          <w:sz w:val="20"/>
          <w:szCs w:val="20"/>
        </w:rPr>
        <w:t>uso</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residencial</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comercial</w:t>
      </w:r>
      <w:r w:rsidRPr="00416D48">
        <w:rPr>
          <w:rFonts w:ascii="Arial" w:eastAsia="Arial" w:hAnsi="Arial" w:cs="Arial"/>
          <w:i/>
          <w:color w:val="000000"/>
          <w:sz w:val="20"/>
          <w:szCs w:val="20"/>
        </w:rPr>
        <w:t xml:space="preserve">, industrial, </w:t>
      </w:r>
      <w:r w:rsidRPr="00416D48">
        <w:rPr>
          <w:rFonts w:ascii="Arial" w:eastAsia="Arial" w:hAnsi="Arial" w:cs="Arial"/>
          <w:i/>
          <w:color w:val="000000"/>
          <w:sz w:val="20"/>
          <w:szCs w:val="20"/>
        </w:rPr>
        <w:t>servicios</w:t>
      </w:r>
      <w:r w:rsidRPr="00416D48">
        <w:rPr>
          <w:rFonts w:ascii="Arial" w:eastAsia="Arial" w:hAnsi="Arial" w:cs="Arial"/>
          <w:i/>
          <w:color w:val="000000"/>
          <w:sz w:val="20"/>
          <w:szCs w:val="20"/>
        </w:rPr>
        <w:t xml:space="preserve"> o </w:t>
      </w:r>
      <w:r w:rsidRPr="00416D48">
        <w:rPr>
          <w:rFonts w:ascii="Arial" w:eastAsia="Arial" w:hAnsi="Arial" w:cs="Arial"/>
          <w:i/>
          <w:color w:val="000000"/>
          <w:sz w:val="20"/>
          <w:szCs w:val="20"/>
        </w:rPr>
        <w:t>dotacional</w:t>
      </w:r>
      <w:r w:rsidRPr="00416D48">
        <w:rPr>
          <w:rFonts w:ascii="Arial" w:eastAsia="Arial" w:hAnsi="Arial" w:cs="Arial"/>
          <w:i/>
          <w:color w:val="000000"/>
          <w:sz w:val="20"/>
          <w:szCs w:val="20"/>
        </w:rPr>
        <w:t xml:space="preserve">, se </w:t>
      </w:r>
      <w:r w:rsidRPr="00416D48">
        <w:rPr>
          <w:rFonts w:ascii="Arial" w:eastAsia="Arial" w:hAnsi="Arial" w:cs="Arial"/>
          <w:i/>
          <w:color w:val="000000"/>
          <w:sz w:val="20"/>
          <w:szCs w:val="20"/>
        </w:rPr>
        <w:t>deberá</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incorporar</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el</w:t>
      </w:r>
      <w:r w:rsidRPr="00416D48">
        <w:rPr>
          <w:rFonts w:ascii="Arial" w:eastAsia="Arial" w:hAnsi="Arial" w:cs="Arial"/>
          <w:i/>
          <w:color w:val="000000"/>
          <w:sz w:val="20"/>
          <w:szCs w:val="20"/>
        </w:rPr>
        <w:t xml:space="preserve"> 5% </w:t>
      </w:r>
      <w:r w:rsidRPr="00416D48">
        <w:rPr>
          <w:rFonts w:ascii="Arial" w:eastAsia="Arial" w:hAnsi="Arial" w:cs="Arial"/>
          <w:i/>
          <w:color w:val="000000"/>
          <w:sz w:val="20"/>
          <w:szCs w:val="20"/>
        </w:rPr>
        <w:t>en</w:t>
      </w:r>
      <w:r w:rsidRPr="00416D48">
        <w:rPr>
          <w:rFonts w:ascii="Arial" w:eastAsia="Arial" w:hAnsi="Arial" w:cs="Arial"/>
          <w:i/>
          <w:color w:val="000000"/>
          <w:sz w:val="20"/>
          <w:szCs w:val="20"/>
        </w:rPr>
        <w:t xml:space="preserve"> peso de </w:t>
      </w:r>
      <w:r w:rsidRPr="00416D48">
        <w:rPr>
          <w:rFonts w:ascii="Arial" w:eastAsia="Arial" w:hAnsi="Arial" w:cs="Arial"/>
          <w:i/>
          <w:color w:val="000000"/>
          <w:sz w:val="20"/>
          <w:szCs w:val="20"/>
        </w:rPr>
        <w:t>materiales</w:t>
      </w:r>
      <w:r w:rsidRPr="00416D48">
        <w:rPr>
          <w:rFonts w:ascii="Arial" w:eastAsia="Arial" w:hAnsi="Arial" w:cs="Arial"/>
          <w:i/>
          <w:color w:val="000000"/>
          <w:sz w:val="20"/>
          <w:szCs w:val="20"/>
        </w:rPr>
        <w:t xml:space="preserve"> de </w:t>
      </w:r>
      <w:r w:rsidRPr="00416D48">
        <w:rPr>
          <w:rFonts w:ascii="Arial" w:eastAsia="Arial" w:hAnsi="Arial" w:cs="Arial"/>
          <w:i/>
          <w:color w:val="000000"/>
          <w:sz w:val="20"/>
          <w:szCs w:val="20"/>
        </w:rPr>
        <w:t>construcción</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provenientes</w:t>
      </w:r>
      <w:r w:rsidRPr="00416D48">
        <w:rPr>
          <w:rFonts w:ascii="Arial" w:eastAsia="Arial" w:hAnsi="Arial" w:cs="Arial"/>
          <w:i/>
          <w:color w:val="000000"/>
          <w:sz w:val="20"/>
          <w:szCs w:val="20"/>
        </w:rPr>
        <w:t xml:space="preserve"> de la </w:t>
      </w:r>
      <w:r w:rsidRPr="00416D48">
        <w:rPr>
          <w:rFonts w:ascii="Arial" w:eastAsia="Arial" w:hAnsi="Arial" w:cs="Arial"/>
          <w:i/>
          <w:color w:val="000000"/>
          <w:sz w:val="20"/>
          <w:szCs w:val="20"/>
        </w:rPr>
        <w:t>valorización</w:t>
      </w:r>
      <w:r w:rsidRPr="00416D48">
        <w:rPr>
          <w:rFonts w:ascii="Arial" w:eastAsia="Arial" w:hAnsi="Arial" w:cs="Arial"/>
          <w:i/>
          <w:color w:val="000000"/>
          <w:sz w:val="20"/>
          <w:szCs w:val="20"/>
        </w:rPr>
        <w:t xml:space="preserve"> de RCD </w:t>
      </w:r>
      <w:r w:rsidRPr="00416D48">
        <w:rPr>
          <w:rFonts w:ascii="Arial" w:eastAsia="Arial" w:hAnsi="Arial" w:cs="Arial"/>
          <w:i/>
          <w:color w:val="000000"/>
          <w:sz w:val="20"/>
          <w:szCs w:val="20"/>
        </w:rPr>
        <w:t>pétreos</w:t>
      </w:r>
      <w:r w:rsidRPr="00416D48">
        <w:rPr>
          <w:rFonts w:ascii="Arial" w:eastAsia="Arial" w:hAnsi="Arial" w:cs="Arial"/>
          <w:i/>
          <w:color w:val="000000"/>
          <w:sz w:val="20"/>
          <w:szCs w:val="20"/>
        </w:rPr>
        <w:t xml:space="preserve"> y no </w:t>
      </w:r>
      <w:r w:rsidRPr="00416D48">
        <w:rPr>
          <w:rFonts w:ascii="Arial" w:eastAsia="Arial" w:hAnsi="Arial" w:cs="Arial"/>
          <w:i/>
          <w:color w:val="000000"/>
          <w:sz w:val="20"/>
          <w:szCs w:val="20"/>
        </w:rPr>
        <w:t>pétreos</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definidos</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en</w:t>
      </w:r>
      <w:r w:rsidRPr="00416D48">
        <w:rPr>
          <w:rFonts w:ascii="Arial" w:eastAsia="Arial" w:hAnsi="Arial" w:cs="Arial"/>
          <w:i/>
          <w:color w:val="000000"/>
          <w:sz w:val="20"/>
          <w:szCs w:val="20"/>
        </w:rPr>
        <w:t xml:space="preserve"> la </w:t>
      </w:r>
      <w:r w:rsidRPr="00416D48">
        <w:rPr>
          <w:rFonts w:ascii="Arial" w:eastAsia="Arial" w:hAnsi="Arial" w:cs="Arial"/>
          <w:i/>
          <w:color w:val="000000"/>
          <w:sz w:val="20"/>
          <w:szCs w:val="20"/>
        </w:rPr>
        <w:t>clasificación</w:t>
      </w:r>
      <w:r w:rsidRPr="00416D48">
        <w:rPr>
          <w:rFonts w:ascii="Arial" w:eastAsia="Arial" w:hAnsi="Arial" w:cs="Arial"/>
          <w:i/>
          <w:color w:val="000000"/>
          <w:sz w:val="20"/>
          <w:szCs w:val="20"/>
        </w:rPr>
        <w:t xml:space="preserve"> del </w:t>
      </w:r>
      <w:r w:rsidRPr="00416D48">
        <w:rPr>
          <w:rFonts w:ascii="Arial" w:eastAsia="Arial" w:hAnsi="Arial" w:cs="Arial"/>
          <w:i/>
          <w:color w:val="000000"/>
          <w:sz w:val="20"/>
          <w:szCs w:val="20"/>
        </w:rPr>
        <w:t>artículo</w:t>
      </w:r>
      <w:r w:rsidRPr="00416D48">
        <w:rPr>
          <w:rFonts w:ascii="Arial" w:eastAsia="Arial" w:hAnsi="Arial" w:cs="Arial"/>
          <w:i/>
          <w:color w:val="000000"/>
          <w:sz w:val="20"/>
          <w:szCs w:val="20"/>
        </w:rPr>
        <w:t xml:space="preserve"> 19 de la </w:t>
      </w:r>
      <w:r w:rsidRPr="00416D48">
        <w:rPr>
          <w:rFonts w:ascii="Arial" w:eastAsia="Arial" w:hAnsi="Arial" w:cs="Arial"/>
          <w:i/>
          <w:color w:val="000000"/>
          <w:sz w:val="20"/>
          <w:szCs w:val="20"/>
        </w:rPr>
        <w:t>presente</w:t>
      </w:r>
      <w:r w:rsidRPr="00416D48">
        <w:rPr>
          <w:rFonts w:ascii="Arial" w:eastAsia="Arial" w:hAnsi="Arial" w:cs="Arial"/>
          <w:i/>
          <w:color w:val="000000"/>
          <w:sz w:val="20"/>
          <w:szCs w:val="20"/>
        </w:rPr>
        <w:t xml:space="preserve"> norma, </w:t>
      </w:r>
      <w:r w:rsidRPr="00416D48">
        <w:rPr>
          <w:rFonts w:ascii="Arial" w:eastAsia="Arial" w:hAnsi="Arial" w:cs="Arial"/>
          <w:i/>
          <w:color w:val="000000"/>
          <w:sz w:val="20"/>
          <w:szCs w:val="20"/>
        </w:rPr>
        <w:t>respecto</w:t>
      </w:r>
      <w:r w:rsidRPr="00416D48">
        <w:rPr>
          <w:rFonts w:ascii="Arial" w:eastAsia="Arial" w:hAnsi="Arial" w:cs="Arial"/>
          <w:i/>
          <w:color w:val="000000"/>
          <w:sz w:val="20"/>
          <w:szCs w:val="20"/>
        </w:rPr>
        <w:t xml:space="preserve"> del peso </w:t>
      </w:r>
      <w:r w:rsidRPr="00416D48">
        <w:rPr>
          <w:rFonts w:ascii="Arial" w:eastAsia="Arial" w:hAnsi="Arial" w:cs="Arial"/>
          <w:i/>
          <w:color w:val="000000"/>
          <w:sz w:val="20"/>
          <w:szCs w:val="20"/>
        </w:rPr>
        <w:t>total</w:t>
      </w:r>
      <w:r w:rsidRPr="00416D48">
        <w:rPr>
          <w:rFonts w:ascii="Arial" w:eastAsia="Arial" w:hAnsi="Arial" w:cs="Arial"/>
          <w:i/>
          <w:color w:val="000000"/>
          <w:sz w:val="20"/>
          <w:szCs w:val="20"/>
        </w:rPr>
        <w:t xml:space="preserve"> de </w:t>
      </w:r>
      <w:r w:rsidRPr="00416D48">
        <w:rPr>
          <w:rFonts w:ascii="Arial" w:eastAsia="Arial" w:hAnsi="Arial" w:cs="Arial"/>
          <w:i/>
          <w:color w:val="000000"/>
          <w:sz w:val="20"/>
          <w:szCs w:val="20"/>
        </w:rPr>
        <w:t>los</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materiales</w:t>
      </w:r>
      <w:r w:rsidRPr="00416D48">
        <w:rPr>
          <w:rFonts w:ascii="Arial" w:eastAsia="Arial" w:hAnsi="Arial" w:cs="Arial"/>
          <w:i/>
          <w:color w:val="000000"/>
          <w:sz w:val="20"/>
          <w:szCs w:val="20"/>
        </w:rPr>
        <w:t xml:space="preserve"> de </w:t>
      </w:r>
      <w:r w:rsidRPr="00416D48">
        <w:rPr>
          <w:rFonts w:ascii="Arial" w:eastAsia="Arial" w:hAnsi="Arial" w:cs="Arial"/>
          <w:i/>
          <w:color w:val="000000"/>
          <w:sz w:val="20"/>
          <w:szCs w:val="20"/>
        </w:rPr>
        <w:t>construcción</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usados</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en</w:t>
      </w:r>
      <w:r w:rsidRPr="00416D48">
        <w:rPr>
          <w:rFonts w:ascii="Arial" w:eastAsia="Arial" w:hAnsi="Arial" w:cs="Arial"/>
          <w:i/>
          <w:color w:val="000000"/>
          <w:sz w:val="20"/>
          <w:szCs w:val="20"/>
        </w:rPr>
        <w:t xml:space="preserve"> la </w:t>
      </w:r>
      <w:r w:rsidRPr="00416D48">
        <w:rPr>
          <w:rFonts w:ascii="Arial" w:eastAsia="Arial" w:hAnsi="Arial" w:cs="Arial"/>
          <w:i/>
          <w:color w:val="000000"/>
          <w:sz w:val="20"/>
          <w:szCs w:val="20"/>
        </w:rPr>
        <w:t>obra</w:t>
      </w:r>
      <w:r w:rsidRPr="00416D48">
        <w:rPr>
          <w:rFonts w:ascii="Arial" w:eastAsia="Arial" w:hAnsi="Arial" w:cs="Arial"/>
          <w:i/>
          <w:color w:val="000000"/>
          <w:sz w:val="20"/>
          <w:szCs w:val="20"/>
        </w:rPr>
        <w:t xml:space="preserve">. Esta meta del 5% </w:t>
      </w:r>
      <w:r w:rsidRPr="00416D48">
        <w:rPr>
          <w:rFonts w:ascii="Arial" w:eastAsia="Arial" w:hAnsi="Arial" w:cs="Arial"/>
          <w:i/>
          <w:color w:val="000000"/>
          <w:sz w:val="20"/>
          <w:szCs w:val="20"/>
        </w:rPr>
        <w:t>deberá</w:t>
      </w:r>
      <w:r w:rsidRPr="00416D48">
        <w:rPr>
          <w:rFonts w:ascii="Arial" w:eastAsia="Arial" w:hAnsi="Arial" w:cs="Arial"/>
          <w:i/>
          <w:color w:val="000000"/>
          <w:sz w:val="20"/>
          <w:szCs w:val="20"/>
        </w:rPr>
        <w:t xml:space="preserve"> ser </w:t>
      </w:r>
      <w:r w:rsidRPr="00416D48">
        <w:rPr>
          <w:rFonts w:ascii="Arial" w:eastAsia="Arial" w:hAnsi="Arial" w:cs="Arial"/>
          <w:i/>
          <w:color w:val="000000"/>
          <w:sz w:val="20"/>
          <w:szCs w:val="20"/>
        </w:rPr>
        <w:t>cumplida</w:t>
      </w:r>
      <w:r w:rsidRPr="00416D48">
        <w:rPr>
          <w:rFonts w:ascii="Arial" w:eastAsia="Arial" w:hAnsi="Arial" w:cs="Arial"/>
          <w:i/>
          <w:color w:val="000000"/>
          <w:sz w:val="20"/>
          <w:szCs w:val="20"/>
        </w:rPr>
        <w:t xml:space="preserve"> a </w:t>
      </w:r>
      <w:r w:rsidRPr="00416D48">
        <w:rPr>
          <w:rFonts w:ascii="Arial" w:eastAsia="Arial" w:hAnsi="Arial" w:cs="Arial"/>
          <w:i/>
          <w:color w:val="000000"/>
          <w:sz w:val="20"/>
          <w:szCs w:val="20"/>
        </w:rPr>
        <w:t>partir</w:t>
      </w:r>
      <w:r w:rsidRPr="00416D48">
        <w:rPr>
          <w:rFonts w:ascii="Arial" w:eastAsia="Arial" w:hAnsi="Arial" w:cs="Arial"/>
          <w:i/>
          <w:color w:val="000000"/>
          <w:sz w:val="20"/>
          <w:szCs w:val="20"/>
        </w:rPr>
        <w:t xml:space="preserve"> de la entrada </w:t>
      </w:r>
      <w:r w:rsidRPr="00416D48">
        <w:rPr>
          <w:rFonts w:ascii="Arial" w:eastAsia="Arial" w:hAnsi="Arial" w:cs="Arial"/>
          <w:i/>
          <w:color w:val="000000"/>
          <w:sz w:val="20"/>
          <w:szCs w:val="20"/>
        </w:rPr>
        <w:t>en</w:t>
      </w:r>
      <w:r w:rsidRPr="00416D48">
        <w:rPr>
          <w:rFonts w:ascii="Arial" w:eastAsia="Arial" w:hAnsi="Arial" w:cs="Arial"/>
          <w:i/>
          <w:color w:val="000000"/>
          <w:sz w:val="20"/>
          <w:szCs w:val="20"/>
        </w:rPr>
        <w:t xml:space="preserve"> vigor de la </w:t>
      </w:r>
      <w:r w:rsidRPr="00416D48">
        <w:rPr>
          <w:rFonts w:ascii="Arial" w:eastAsia="Arial" w:hAnsi="Arial" w:cs="Arial"/>
          <w:i/>
          <w:color w:val="000000"/>
          <w:sz w:val="20"/>
          <w:szCs w:val="20"/>
        </w:rPr>
        <w:t>presente</w:t>
      </w:r>
      <w:r w:rsidRPr="00416D48">
        <w:rPr>
          <w:rFonts w:ascii="Arial" w:eastAsia="Arial" w:hAnsi="Arial" w:cs="Arial"/>
          <w:i/>
          <w:color w:val="000000"/>
          <w:sz w:val="20"/>
          <w:szCs w:val="20"/>
        </w:rPr>
        <w:t xml:space="preserve"> norma y se </w:t>
      </w:r>
      <w:r w:rsidRPr="00416D48">
        <w:rPr>
          <w:rFonts w:ascii="Arial" w:eastAsia="Arial" w:hAnsi="Arial" w:cs="Arial"/>
          <w:i/>
          <w:color w:val="000000"/>
          <w:sz w:val="20"/>
          <w:szCs w:val="20"/>
        </w:rPr>
        <w:t>incrementará</w:t>
      </w:r>
      <w:r w:rsidRPr="00416D48">
        <w:rPr>
          <w:rFonts w:ascii="Arial" w:eastAsia="Arial" w:hAnsi="Arial" w:cs="Arial"/>
          <w:i/>
          <w:color w:val="000000"/>
          <w:sz w:val="20"/>
          <w:szCs w:val="20"/>
        </w:rPr>
        <w:t xml:space="preserve"> un punto </w:t>
      </w:r>
      <w:r w:rsidRPr="00416D48">
        <w:rPr>
          <w:rFonts w:ascii="Arial" w:eastAsia="Arial" w:hAnsi="Arial" w:cs="Arial"/>
          <w:i/>
          <w:color w:val="000000"/>
          <w:sz w:val="20"/>
          <w:szCs w:val="20"/>
        </w:rPr>
        <w:t>porcentual</w:t>
      </w:r>
      <w:r w:rsidRPr="00416D48">
        <w:rPr>
          <w:rFonts w:ascii="Arial" w:eastAsia="Arial" w:hAnsi="Arial" w:cs="Arial"/>
          <w:i/>
          <w:color w:val="000000"/>
          <w:sz w:val="20"/>
          <w:szCs w:val="20"/>
        </w:rPr>
        <w:t xml:space="preserve"> </w:t>
      </w:r>
      <w:r w:rsidRPr="00416D48">
        <w:rPr>
          <w:rFonts w:ascii="Arial" w:eastAsia="Arial" w:hAnsi="Arial" w:cs="Arial"/>
          <w:i/>
          <w:color w:val="000000"/>
          <w:sz w:val="20"/>
          <w:szCs w:val="20"/>
        </w:rPr>
        <w:t>anualmente</w:t>
      </w:r>
      <w:r w:rsidRPr="00416D48">
        <w:rPr>
          <w:rFonts w:ascii="Arial" w:eastAsia="Arial" w:hAnsi="Arial" w:cs="Arial"/>
          <w:i/>
          <w:color w:val="000000"/>
          <w:sz w:val="20"/>
          <w:szCs w:val="20"/>
        </w:rPr>
        <w:t xml:space="preserve"> hasta </w:t>
      </w:r>
      <w:r w:rsidRPr="00416D48">
        <w:rPr>
          <w:rFonts w:ascii="Arial" w:eastAsia="Arial" w:hAnsi="Arial" w:cs="Arial"/>
          <w:i/>
          <w:color w:val="000000"/>
          <w:sz w:val="20"/>
          <w:szCs w:val="20"/>
        </w:rPr>
        <w:t>lograr</w:t>
      </w:r>
      <w:r w:rsidRPr="00416D48">
        <w:rPr>
          <w:rFonts w:ascii="Arial" w:eastAsia="Arial" w:hAnsi="Arial" w:cs="Arial"/>
          <w:i/>
          <w:color w:val="000000"/>
          <w:sz w:val="20"/>
          <w:szCs w:val="20"/>
        </w:rPr>
        <w:t xml:space="preserve"> la </w:t>
      </w:r>
      <w:r w:rsidRPr="00416D48">
        <w:rPr>
          <w:rFonts w:ascii="Arial" w:eastAsia="Arial" w:hAnsi="Arial" w:cs="Arial"/>
          <w:i/>
          <w:color w:val="000000"/>
          <w:sz w:val="20"/>
          <w:szCs w:val="20"/>
        </w:rPr>
        <w:t>incorporación</w:t>
      </w:r>
      <w:r w:rsidRPr="00416D48">
        <w:rPr>
          <w:rFonts w:ascii="Arial" w:eastAsia="Arial" w:hAnsi="Arial" w:cs="Arial"/>
          <w:i/>
          <w:color w:val="000000"/>
          <w:sz w:val="20"/>
          <w:szCs w:val="20"/>
        </w:rPr>
        <w:t xml:space="preserve"> del 20%.</w:t>
      </w:r>
    </w:p>
    <w:p w:rsidR="00924DF2" w:rsidRPr="005B3526" w:rsidP="00924DF2" w14:paraId="02AB104B" w14:textId="77777777">
      <w:pPr>
        <w:pStyle w:val="ListParagraph"/>
        <w:spacing w:after="0" w:line="276" w:lineRule="auto"/>
        <w:ind w:left="1068"/>
        <w:jc w:val="both"/>
        <w:rPr>
          <w:rFonts w:ascii="Arial" w:eastAsia="Arial" w:hAnsi="Arial" w:cs="Arial"/>
          <w:i/>
          <w:color w:val="000000"/>
          <w:sz w:val="20"/>
          <w:szCs w:val="20"/>
          <w:lang w:val="es-CO"/>
        </w:rPr>
      </w:pPr>
    </w:p>
    <w:p w:rsidR="00924DF2" w:rsidRPr="005B3526" w:rsidP="00924DF2" w14:paraId="02AB104C"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Estos porcentajes de circularidad se pueden cumplir de la siguiente manera:</w:t>
      </w:r>
    </w:p>
    <w:p w:rsidR="00924DF2" w:rsidRPr="005B3526" w:rsidP="00924DF2" w14:paraId="02AB104D" w14:textId="77777777">
      <w:pPr>
        <w:spacing w:after="0" w:line="276" w:lineRule="auto"/>
        <w:ind w:left="708"/>
        <w:jc w:val="both"/>
        <w:rPr>
          <w:rFonts w:ascii="Arial" w:eastAsia="Arial" w:hAnsi="Arial" w:cs="Arial"/>
          <w:i/>
          <w:color w:val="000000"/>
          <w:sz w:val="20"/>
          <w:szCs w:val="20"/>
        </w:rPr>
      </w:pPr>
    </w:p>
    <w:p w:rsidR="00924DF2" w:rsidRPr="00924DF2" w:rsidP="00924DF2" w14:paraId="02AB104E" w14:textId="77777777">
      <w:pPr>
        <w:spacing w:after="0" w:line="276" w:lineRule="auto"/>
        <w:ind w:left="708"/>
        <w:jc w:val="both"/>
        <w:rPr>
          <w:rFonts w:ascii="Arial" w:eastAsia="Arial" w:hAnsi="Arial" w:cs="Arial"/>
          <w:i/>
          <w:color w:val="000000"/>
          <w:sz w:val="20"/>
          <w:szCs w:val="20"/>
        </w:rPr>
      </w:pPr>
      <w:r w:rsidRPr="005B3526">
        <w:rPr>
          <w:rFonts w:ascii="Arial" w:eastAsia="Arial" w:hAnsi="Arial" w:cs="Arial"/>
          <w:i/>
          <w:color w:val="000000"/>
          <w:sz w:val="20"/>
          <w:szCs w:val="20"/>
        </w:rPr>
        <w:t> 3. Utilizar elementos o materiales de construcción elaborados a partir de residuos de construcción y demolición provenientes de proveedores registrados ante la Secretaría Distrital de Ambiente (…).”</w:t>
      </w:r>
      <w:r w:rsidRPr="00924DF2">
        <w:rPr>
          <w:rFonts w:ascii="Arial" w:eastAsia="Arial" w:hAnsi="Arial" w:cs="Arial"/>
          <w:i/>
          <w:color w:val="000000"/>
          <w:sz w:val="20"/>
          <w:szCs w:val="20"/>
        </w:rPr>
        <w:t> </w:t>
      </w:r>
    </w:p>
    <w:p w:rsidR="00924DF2" w:rsidRPr="00924DF2" w:rsidP="00924DF2" w14:paraId="02AB104F" w14:textId="77777777">
      <w:pPr>
        <w:spacing w:after="0" w:line="276" w:lineRule="auto"/>
        <w:jc w:val="both"/>
        <w:rPr>
          <w:rFonts w:ascii="Arial" w:eastAsia="Arial" w:hAnsi="Arial" w:cs="Arial"/>
          <w:i/>
          <w:color w:val="000000"/>
          <w:sz w:val="20"/>
          <w:szCs w:val="20"/>
        </w:rPr>
      </w:pPr>
    </w:p>
    <w:p w:rsidR="00924DF2" w:rsidRPr="00924DF2" w:rsidP="00924DF2" w14:paraId="02AB1050" w14:textId="77777777">
      <w:pPr>
        <w:spacing w:after="0" w:line="276" w:lineRule="auto"/>
        <w:jc w:val="both"/>
        <w:rPr>
          <w:rFonts w:ascii="Arial" w:eastAsia="Arial" w:hAnsi="Arial" w:cs="Arial"/>
          <w:color w:val="000000"/>
          <w:sz w:val="20"/>
          <w:szCs w:val="20"/>
        </w:rPr>
      </w:pPr>
      <w:r w:rsidRPr="00924DF2">
        <w:rPr>
          <w:rFonts w:ascii="Arial" w:eastAsia="Arial" w:hAnsi="Arial" w:cs="Arial"/>
          <w:color w:val="000000"/>
          <w:sz w:val="20"/>
          <w:szCs w:val="20"/>
        </w:rPr>
        <w:t xml:space="preserve">Cuando el proyecto finalice y no se ejerzan actividades de construcción, se deberá solicitar el cierre del PIN-GEN dentro de los 30 días hábiles siguientes a la terminación de la obra, diligenciando el anexo X. Para que este sea finalizado, debe tener el registro mensual de los reportes de disposición final y aprovechamiento con sus respectivos anexos desde el inicio de la obra hasta su finalización y haber cumplido con las metas de aprovechamiento y circularidad. </w:t>
      </w:r>
    </w:p>
    <w:p w:rsidR="00924DF2" w:rsidRPr="00924DF2" w:rsidP="00924DF2" w14:paraId="02AB1051" w14:textId="77777777">
      <w:pPr>
        <w:spacing w:after="0" w:line="276" w:lineRule="auto"/>
        <w:jc w:val="both"/>
        <w:rPr>
          <w:rFonts w:ascii="Arial" w:hAnsi="Arial" w:cs="Arial"/>
          <w:sz w:val="20"/>
          <w:szCs w:val="20"/>
        </w:rPr>
      </w:pPr>
    </w:p>
    <w:p w:rsidR="00F60CD8" w:rsidRPr="00924DF2" w:rsidP="00924DF2" w14:paraId="02AB1052" w14:textId="77777777">
      <w:pPr>
        <w:tabs>
          <w:tab w:val="left" w:pos="2552"/>
        </w:tabs>
        <w:spacing w:line="276" w:lineRule="auto"/>
        <w:jc w:val="both"/>
        <w:rPr>
          <w:rFonts w:ascii="Arial" w:eastAsia="Arial" w:hAnsi="Arial" w:cs="Arial"/>
          <w:b/>
          <w:bCs/>
          <w:sz w:val="20"/>
          <w:szCs w:val="20"/>
        </w:rPr>
      </w:pPr>
      <w:r w:rsidRPr="00924DF2">
        <w:rPr>
          <w:rFonts w:ascii="Arial" w:eastAsia="Arial" w:hAnsi="Arial" w:cs="Arial"/>
          <w:b/>
          <w:bCs/>
          <w:sz w:val="20"/>
          <w:szCs w:val="20"/>
        </w:rPr>
        <w:t xml:space="preserve">Cabe resaltar que el incumplimiento de la formulación, implementación o actualización del programa de manejo ambiental de residuos de construcción y demolición dará lugar al inicio de proceso sancionatorio por incumplimiento normativo, de acuerdo con lo establecido en la Ley 1333 de 2009 </w:t>
      </w:r>
      <w:r w:rsidRPr="00924DF2">
        <w:rPr>
          <w:rFonts w:ascii="Arial" w:eastAsia="Arial" w:hAnsi="Arial" w:cs="Arial"/>
          <w:b/>
          <w:bCs/>
          <w:i/>
          <w:iCs/>
          <w:sz w:val="20"/>
          <w:szCs w:val="20"/>
        </w:rPr>
        <w:t>“Por la cual se establece el procedimiento sancionatorio ambiental y se dictan otras disposiciones”</w:t>
      </w:r>
      <w:r w:rsidRPr="00924DF2">
        <w:rPr>
          <w:rFonts w:ascii="Arial" w:eastAsia="Arial" w:hAnsi="Arial" w:cs="Arial"/>
          <w:b/>
          <w:bCs/>
          <w:iCs/>
          <w:sz w:val="20"/>
          <w:szCs w:val="20"/>
        </w:rPr>
        <w:t xml:space="preserve"> modificada por la Ley 2387 de 2024</w:t>
      </w:r>
      <w:r w:rsidRPr="00924DF2">
        <w:rPr>
          <w:rFonts w:ascii="Arial" w:eastAsia="Arial" w:hAnsi="Arial" w:cs="Arial"/>
          <w:b/>
          <w:bCs/>
          <w:sz w:val="20"/>
          <w:szCs w:val="20"/>
        </w:rPr>
        <w:t>.</w:t>
      </w:r>
    </w:p>
    <w:p w:rsidR="00F60CD8" w:rsidRPr="00924DF2" w:rsidP="00F60CD8" w14:paraId="02AB1053" w14:textId="77777777">
      <w:pPr>
        <w:tabs>
          <w:tab w:val="left" w:pos="567"/>
        </w:tabs>
        <w:spacing w:after="0" w:line="252" w:lineRule="auto"/>
        <w:jc w:val="both"/>
        <w:rPr>
          <w:rFonts w:ascii="Arial" w:hAnsi="Arial" w:cs="Arial"/>
          <w:sz w:val="20"/>
          <w:szCs w:val="20"/>
        </w:rPr>
      </w:pPr>
      <w:r w:rsidRPr="00924DF2">
        <w:rPr>
          <w:rFonts w:ascii="Arial" w:hAnsi="Arial" w:cs="Arial"/>
          <w:sz w:val="20"/>
          <w:szCs w:val="20"/>
        </w:rPr>
        <w:t xml:space="preserve">Finalmente, se aprovecha la oportunidad para reiterar nuestro compromiso en los casos en los cuales se requiera de nuestra intervención, según las competencias definidas en el Decreto 646 de 2025. Así mismo, esta Subdirección estará atenta a resolver cualquier inquietud al respecto, ya sea directamente en la ventanilla de atención al público de la entidad, ubicada en la Avenida Caracas No. 54 – 38; o a través de la línea telefónica 3778904 o al correo electrónico </w:t>
      </w:r>
      <w:r>
        <w:fldChar w:fldCharType="begin"/>
      </w:r>
      <w:r>
        <w:instrText xml:space="preserve"> HYPERLINK "mailto:atencionalciudadano@ambientebogota.gov.co" </w:instrText>
      </w:r>
      <w:r>
        <w:fldChar w:fldCharType="separate"/>
      </w:r>
      <w:r w:rsidRPr="00924DF2">
        <w:rPr>
          <w:rStyle w:val="Hyperlink"/>
          <w:rFonts w:ascii="Arial" w:hAnsi="Arial" w:cs="Arial"/>
          <w:sz w:val="20"/>
          <w:szCs w:val="20"/>
        </w:rPr>
        <w:t>atencionalciudadano@ambientebogota.gov.co</w:t>
      </w:r>
      <w:r>
        <w:fldChar w:fldCharType="end"/>
      </w:r>
      <w:r w:rsidRPr="00924DF2">
        <w:rPr>
          <w:rFonts w:ascii="Arial" w:hAnsi="Arial" w:cs="Arial"/>
          <w:sz w:val="20"/>
          <w:szCs w:val="20"/>
        </w:rPr>
        <w:t>.</w:t>
      </w:r>
    </w:p>
    <w:p w:rsidR="00F60CD8" w:rsidRPr="00924DF2" w:rsidP="00F60CD8" w14:paraId="02AB1054" w14:textId="77777777">
      <w:pPr>
        <w:spacing w:after="0" w:line="252" w:lineRule="auto"/>
        <w:rPr>
          <w:rFonts w:ascii="Arial" w:hAnsi="Arial" w:cs="Arial"/>
          <w:sz w:val="20"/>
          <w:szCs w:val="20"/>
        </w:rPr>
      </w:pPr>
    </w:p>
    <w:p w:rsidR="00F60CD8" w:rsidRPr="00924DF2" w:rsidP="00F60CD8" w14:paraId="02AB1055" w14:textId="77777777">
      <w:pPr>
        <w:spacing w:after="0" w:line="252" w:lineRule="auto"/>
        <w:rPr>
          <w:rFonts w:ascii="Arial" w:hAnsi="Arial" w:cs="Arial"/>
          <w:sz w:val="20"/>
          <w:szCs w:val="20"/>
        </w:rPr>
      </w:pPr>
      <w:r w:rsidRPr="00924DF2">
        <w:rPr>
          <w:rFonts w:ascii="Arial" w:hAnsi="Arial" w:cs="Arial"/>
          <w:sz w:val="20"/>
          <w:szCs w:val="20"/>
        </w:rPr>
        <w:t>Atentamente,</w:t>
      </w:r>
    </w:p>
    <w:p w:rsidR="000F266B" w:rsidP="00D62C10" w14:paraId="02AB1056" w14:textId="77777777">
      <w:pPr>
        <w:spacing w:after="0" w:line="240" w:lineRule="auto"/>
        <w:rPr>
          <w:rFonts w:ascii="Arial" w:hAnsi="Arial" w:cs="Arial"/>
        </w:rPr>
      </w:pPr>
    </w:p>
    <w:p w:rsidR="00F60CD8" w:rsidP="00D62C10" w14:paraId="02AB1057"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02AB1058"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02AB1059"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02AB105A"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02AB105B"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02AB105C"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02AB105D"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2AB105E"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 xml:space="preserve"> </w:t>
      </w:r>
      <w:bookmarkEnd w:id="9"/>
    </w:p>
    <w:p w:rsidR="00D62C10" w:rsidP="00D62C10" w14:paraId="02AB105F"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 xml:space="preserve"> </w:t>
      </w:r>
      <w:bookmarkEnd w:id="10"/>
    </w:p>
    <w:p w:rsidR="000F266B" w:rsidP="00D62C10" w14:paraId="02AB1060" w14:textId="77777777">
      <w:pPr>
        <w:spacing w:after="0" w:line="240" w:lineRule="auto"/>
        <w:rPr>
          <w:rFonts w:ascii="Arial" w:hAnsi="Arial" w:cs="Arial"/>
          <w:sz w:val="18"/>
          <w:szCs w:val="18"/>
        </w:rPr>
      </w:pPr>
    </w:p>
    <w:p w:rsidR="000F266B" w:rsidP="00D62C10" w14:paraId="02AB1061"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02AB1062"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2AB1069" w14:textId="77777777">
    <w:pPr>
      <w:pStyle w:val="Footer"/>
      <w:jc w:val="center"/>
    </w:pPr>
    <w:bookmarkStart w:id="4" w:name="word_fin"/>
  </w:p>
  <w:tbl>
    <w:tblPr>
      <w:tblW w:w="9384" w:type="dxa"/>
      <w:tblLayout w:type="fixed"/>
      <w:tblLook w:val="01E0"/>
    </w:tblPr>
    <w:tblGrid>
      <w:gridCol w:w="4824"/>
      <w:gridCol w:w="4560"/>
    </w:tblGrid>
    <w:tr w14:paraId="02AB106C"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02AB106A"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4pt;height:56.4pt">
                <v:imagedata r:id="rId1" r:href="rId2" o:title=""/>
              </v:shape>
            </w:pict>
          </w:r>
        </w:p>
      </w:tc>
      <w:tc>
        <w:tcPr>
          <w:tcW w:w="4560" w:type="dxa"/>
          <w:tcMar>
            <w:top w:w="0" w:type="dxa"/>
            <w:left w:w="0" w:type="dxa"/>
            <w:bottom w:w="0" w:type="dxa"/>
            <w:right w:w="0" w:type="dxa"/>
          </w:tcMar>
          <w:vAlign w:val="center"/>
        </w:tcPr>
        <w:p w:rsidR="008E76E0" w14:paraId="02AB106B" w14:textId="77777777">
          <w:pPr>
            <w:pStyle w:val="Normal0"/>
            <w:jc w:val="right"/>
            <w:rPr>
              <w:lang w:val="en-US"/>
            </w:rPr>
          </w:pPr>
          <w:r>
            <w:pict>
              <v:shape id="_x0000_i2051" type="#_x0000_t75" style="width:124.2pt;height:63.6pt">
                <v:imagedata r:id="rId3" r:href="rId4" o:title=""/>
              </v:shape>
            </w:pict>
          </w:r>
        </w:p>
      </w:tc>
    </w:tr>
  </w:tbl>
  <w:p w:rsidR="008E76E0" w14:paraId="02AB106D"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2AB1065" w14:textId="77777777">
    <w:pPr>
      <w:pStyle w:val="Header"/>
      <w:jc w:val="center"/>
    </w:pPr>
    <w:bookmarkStart w:id="3" w:name="word_ini"/>
  </w:p>
  <w:tbl>
    <w:tblPr>
      <w:tblW w:w="9406" w:type="dxa"/>
      <w:tblLayout w:type="fixed"/>
      <w:tblLook w:val="01E0"/>
    </w:tblPr>
    <w:tblGrid>
      <w:gridCol w:w="9406"/>
    </w:tblGrid>
    <w:tr w14:paraId="02AB1067" w14:textId="77777777">
      <w:tblPrEx>
        <w:tblW w:w="9406" w:type="dxa"/>
        <w:tblLayout w:type="fixed"/>
        <w:tblLook w:val="01E0"/>
      </w:tblPrEx>
      <w:tc>
        <w:tcPr>
          <w:tcW w:w="9406" w:type="dxa"/>
          <w:tcMar>
            <w:top w:w="160" w:type="dxa"/>
            <w:left w:w="0" w:type="dxa"/>
            <w:bottom w:w="0" w:type="dxa"/>
            <w:right w:w="0" w:type="dxa"/>
          </w:tcMar>
        </w:tcPr>
        <w:p w:rsidR="008E76E0" w14:paraId="02AB1066"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02AB1068"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BD81565"/>
    <w:multiLevelType w:val="hybridMultilevel"/>
    <w:tmpl w:val="3BC2FC72"/>
    <w:lvl w:ilvl="0">
      <w:start w:val="1"/>
      <w:numFmt w:val="decimal"/>
      <w:lvlText w:val="%1."/>
      <w:lvlJc w:val="left"/>
      <w:pPr>
        <w:ind w:left="1428" w:hanging="360"/>
      </w:p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438E1"/>
    <w:rsid w:val="000C4C18"/>
    <w:rsid w:val="000F266B"/>
    <w:rsid w:val="00130C17"/>
    <w:rsid w:val="00145B68"/>
    <w:rsid w:val="00172418"/>
    <w:rsid w:val="00192946"/>
    <w:rsid w:val="001C50BC"/>
    <w:rsid w:val="001D6C6D"/>
    <w:rsid w:val="001E17A0"/>
    <w:rsid w:val="001F2A5D"/>
    <w:rsid w:val="001F64E7"/>
    <w:rsid w:val="00201C3F"/>
    <w:rsid w:val="00203A40"/>
    <w:rsid w:val="00297D93"/>
    <w:rsid w:val="002C46C8"/>
    <w:rsid w:val="002E61AC"/>
    <w:rsid w:val="002F69D3"/>
    <w:rsid w:val="00327E1E"/>
    <w:rsid w:val="00353C38"/>
    <w:rsid w:val="003D545E"/>
    <w:rsid w:val="003D5F9B"/>
    <w:rsid w:val="003E3EF1"/>
    <w:rsid w:val="003E428E"/>
    <w:rsid w:val="003E50AF"/>
    <w:rsid w:val="00416D48"/>
    <w:rsid w:val="00437BD0"/>
    <w:rsid w:val="00486F89"/>
    <w:rsid w:val="004A1605"/>
    <w:rsid w:val="004B06AD"/>
    <w:rsid w:val="004C419D"/>
    <w:rsid w:val="005129D7"/>
    <w:rsid w:val="00533866"/>
    <w:rsid w:val="005534AB"/>
    <w:rsid w:val="00576BBF"/>
    <w:rsid w:val="00577B8F"/>
    <w:rsid w:val="005965C0"/>
    <w:rsid w:val="005B2398"/>
    <w:rsid w:val="005B3526"/>
    <w:rsid w:val="005C785F"/>
    <w:rsid w:val="00645B0F"/>
    <w:rsid w:val="006566FA"/>
    <w:rsid w:val="00666C99"/>
    <w:rsid w:val="00671F08"/>
    <w:rsid w:val="00682B33"/>
    <w:rsid w:val="00694464"/>
    <w:rsid w:val="006A4135"/>
    <w:rsid w:val="006A610D"/>
    <w:rsid w:val="006A75A5"/>
    <w:rsid w:val="006B37B9"/>
    <w:rsid w:val="006C3ECD"/>
    <w:rsid w:val="006C497E"/>
    <w:rsid w:val="007062D8"/>
    <w:rsid w:val="00721108"/>
    <w:rsid w:val="00762275"/>
    <w:rsid w:val="00762C80"/>
    <w:rsid w:val="00792C16"/>
    <w:rsid w:val="00794A0F"/>
    <w:rsid w:val="007A0A22"/>
    <w:rsid w:val="007A2F90"/>
    <w:rsid w:val="007E1768"/>
    <w:rsid w:val="007E17F8"/>
    <w:rsid w:val="007E3B39"/>
    <w:rsid w:val="0080535A"/>
    <w:rsid w:val="00834398"/>
    <w:rsid w:val="008456C2"/>
    <w:rsid w:val="00850662"/>
    <w:rsid w:val="0088794A"/>
    <w:rsid w:val="008916D6"/>
    <w:rsid w:val="00892F25"/>
    <w:rsid w:val="008A3195"/>
    <w:rsid w:val="008C123C"/>
    <w:rsid w:val="008E3E93"/>
    <w:rsid w:val="008E76E0"/>
    <w:rsid w:val="008F490F"/>
    <w:rsid w:val="00920503"/>
    <w:rsid w:val="00924DF2"/>
    <w:rsid w:val="00927124"/>
    <w:rsid w:val="00936535"/>
    <w:rsid w:val="00986C6E"/>
    <w:rsid w:val="009C2E40"/>
    <w:rsid w:val="009D6D05"/>
    <w:rsid w:val="009D6E81"/>
    <w:rsid w:val="00A112CA"/>
    <w:rsid w:val="00A32B2B"/>
    <w:rsid w:val="00A430BB"/>
    <w:rsid w:val="00A82518"/>
    <w:rsid w:val="00A8569E"/>
    <w:rsid w:val="00AA439D"/>
    <w:rsid w:val="00AA4F59"/>
    <w:rsid w:val="00AE7855"/>
    <w:rsid w:val="00B03326"/>
    <w:rsid w:val="00B05D03"/>
    <w:rsid w:val="00B34B4F"/>
    <w:rsid w:val="00B4483D"/>
    <w:rsid w:val="00B52D62"/>
    <w:rsid w:val="00B675E7"/>
    <w:rsid w:val="00B814F1"/>
    <w:rsid w:val="00BC09B5"/>
    <w:rsid w:val="00BC6491"/>
    <w:rsid w:val="00C00708"/>
    <w:rsid w:val="00C024D8"/>
    <w:rsid w:val="00C027D7"/>
    <w:rsid w:val="00C16D2D"/>
    <w:rsid w:val="00C376CB"/>
    <w:rsid w:val="00C407B5"/>
    <w:rsid w:val="00C43A51"/>
    <w:rsid w:val="00C45479"/>
    <w:rsid w:val="00C575FD"/>
    <w:rsid w:val="00CB7746"/>
    <w:rsid w:val="00CC4742"/>
    <w:rsid w:val="00D1381B"/>
    <w:rsid w:val="00D30CF4"/>
    <w:rsid w:val="00D412D9"/>
    <w:rsid w:val="00D54B97"/>
    <w:rsid w:val="00D55371"/>
    <w:rsid w:val="00D62C10"/>
    <w:rsid w:val="00D67BCF"/>
    <w:rsid w:val="00D84FD9"/>
    <w:rsid w:val="00D93039"/>
    <w:rsid w:val="00DB4121"/>
    <w:rsid w:val="00E01F47"/>
    <w:rsid w:val="00E35A99"/>
    <w:rsid w:val="00E82FBA"/>
    <w:rsid w:val="00E90A90"/>
    <w:rsid w:val="00E92BC3"/>
    <w:rsid w:val="00EF4C06"/>
    <w:rsid w:val="00EF578D"/>
    <w:rsid w:val="00F130B7"/>
    <w:rsid w:val="00F60CD8"/>
    <w:rsid w:val="00F931FB"/>
    <w:rsid w:val="00FA7F6C"/>
    <w:rsid w:val="00FC3305"/>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UnresolvedMention">
    <w:name w:val="Unresolved Mention"/>
    <w:basedOn w:val="DefaultParagraphFont"/>
    <w:uiPriority w:val="99"/>
    <w:semiHidden/>
    <w:unhideWhenUsed/>
    <w:rsid w:val="005129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5</Pages>
  <Words>2055</Words>
  <Characters>10485</Characters>
  <Application>Microsoft Office Word</Application>
  <DocSecurity>0</DocSecurity>
  <Lines>299</Lines>
  <Paragraphs>133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María Alejandra García Rodríguez</cp:lastModifiedBy>
  <cp:revision>87</cp:revision>
  <dcterms:created xsi:type="dcterms:W3CDTF">2021-01-21T17:47:00Z</dcterms:created>
  <dcterms:modified xsi:type="dcterms:W3CDTF">2026-05-05T22:03:00Z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